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8D547" w14:textId="77777777" w:rsidR="0038325A" w:rsidRPr="00CA7A72" w:rsidRDefault="0038325A" w:rsidP="003E2B6F">
      <w:pPr>
        <w:spacing w:line="288" w:lineRule="auto"/>
        <w:rPr>
          <w:rFonts w:ascii="Arial" w:hAnsi="Arial"/>
          <w:sz w:val="24"/>
          <w:szCs w:val="24"/>
        </w:rPr>
      </w:pPr>
    </w:p>
    <w:p w14:paraId="279AC1A3" w14:textId="77777777" w:rsidR="008B1108" w:rsidRPr="00CA7A72" w:rsidRDefault="008B1108" w:rsidP="003E2B6F">
      <w:pPr>
        <w:spacing w:line="288" w:lineRule="auto"/>
        <w:rPr>
          <w:rFonts w:ascii="Arial" w:hAnsi="Arial"/>
          <w:sz w:val="24"/>
          <w:szCs w:val="24"/>
        </w:rPr>
      </w:pPr>
    </w:p>
    <w:p w14:paraId="77035092" w14:textId="77777777" w:rsidR="008B1108" w:rsidRPr="00CA7A72" w:rsidRDefault="008B1108" w:rsidP="003E2B6F">
      <w:pPr>
        <w:spacing w:line="288" w:lineRule="auto"/>
        <w:rPr>
          <w:rFonts w:ascii="Arial" w:hAnsi="Arial"/>
          <w:sz w:val="24"/>
          <w:szCs w:val="24"/>
        </w:rPr>
      </w:pPr>
    </w:p>
    <w:p w14:paraId="5536E062" w14:textId="29A26EBA" w:rsidR="008B1108" w:rsidRPr="00CA7A72" w:rsidRDefault="00A24F4B" w:rsidP="00A24F4B">
      <w:pPr>
        <w:spacing w:line="288" w:lineRule="auto"/>
        <w:jc w:val="right"/>
        <w:rPr>
          <w:rFonts w:ascii="Arial" w:hAnsi="Arial"/>
          <w:sz w:val="24"/>
          <w:szCs w:val="24"/>
        </w:rPr>
      </w:pPr>
      <w:r w:rsidRPr="00CA7A72">
        <w:rPr>
          <w:rFonts w:ascii="Arial" w:hAnsi="Arial"/>
          <w:sz w:val="24"/>
          <w:szCs w:val="24"/>
        </w:rPr>
        <w:t xml:space="preserve">March </w:t>
      </w:r>
      <w:r w:rsidR="00734C59" w:rsidRPr="00CA7A72">
        <w:rPr>
          <w:rFonts w:ascii="Arial" w:hAnsi="Arial"/>
          <w:sz w:val="24"/>
          <w:szCs w:val="24"/>
        </w:rPr>
        <w:t>11</w:t>
      </w:r>
      <w:r w:rsidRPr="00CA7A72">
        <w:rPr>
          <w:rFonts w:ascii="Arial" w:hAnsi="Arial"/>
          <w:sz w:val="24"/>
          <w:szCs w:val="24"/>
        </w:rPr>
        <w:t>, 2022</w:t>
      </w:r>
    </w:p>
    <w:p w14:paraId="593FE325" w14:textId="02F9D996" w:rsidR="00A24F4B" w:rsidRPr="00CA7A72" w:rsidRDefault="00A24F4B" w:rsidP="00A24F4B">
      <w:pPr>
        <w:spacing w:line="288" w:lineRule="auto"/>
        <w:rPr>
          <w:rFonts w:ascii="Arial" w:hAnsi="Arial"/>
          <w:sz w:val="24"/>
          <w:szCs w:val="24"/>
        </w:rPr>
      </w:pPr>
    </w:p>
    <w:p w14:paraId="65531E1C" w14:textId="7D7127C2" w:rsidR="00A24F4B" w:rsidRPr="00CA7A72" w:rsidRDefault="00A24F4B" w:rsidP="00A24F4B">
      <w:pPr>
        <w:spacing w:line="288" w:lineRule="auto"/>
        <w:rPr>
          <w:rFonts w:ascii="Arial" w:hAnsi="Arial"/>
          <w:sz w:val="24"/>
          <w:szCs w:val="24"/>
        </w:rPr>
      </w:pPr>
      <w:r w:rsidRPr="00CA7A72">
        <w:rPr>
          <w:rFonts w:ascii="Arial" w:hAnsi="Arial"/>
          <w:sz w:val="24"/>
          <w:szCs w:val="24"/>
        </w:rPr>
        <w:t xml:space="preserve">This information is provided in response to the Request for Information from the U.S. Department of Energy’s (DOE) Hydrogen Program on the regional clean hydrogen hubs implementation strategy (DE-FOA-0002664.0001). </w:t>
      </w:r>
    </w:p>
    <w:p w14:paraId="40B6FDB3" w14:textId="77777777" w:rsidR="00A24F4B" w:rsidRPr="00CA7A72" w:rsidRDefault="00A24F4B" w:rsidP="00A24F4B">
      <w:pPr>
        <w:spacing w:line="288" w:lineRule="auto"/>
        <w:rPr>
          <w:rFonts w:ascii="Arial" w:hAnsi="Arial"/>
          <w:sz w:val="24"/>
          <w:szCs w:val="24"/>
        </w:rPr>
      </w:pPr>
    </w:p>
    <w:p w14:paraId="472F9A96" w14:textId="77777777" w:rsidR="00A24F4B" w:rsidRPr="00CA7A72" w:rsidRDefault="00A24F4B" w:rsidP="00A24F4B">
      <w:pPr>
        <w:spacing w:line="288" w:lineRule="auto"/>
        <w:rPr>
          <w:rFonts w:ascii="Arial" w:hAnsi="Arial"/>
          <w:sz w:val="24"/>
          <w:szCs w:val="24"/>
        </w:rPr>
      </w:pPr>
      <w:r w:rsidRPr="00CA7A72">
        <w:rPr>
          <w:rFonts w:ascii="Arial" w:hAnsi="Arial"/>
          <w:b/>
          <w:bCs/>
          <w:sz w:val="24"/>
          <w:szCs w:val="24"/>
          <w:u w:val="single"/>
        </w:rPr>
        <w:t>About the Renewable Thermal Collaborative (RTC)</w:t>
      </w:r>
    </w:p>
    <w:p w14:paraId="084A4F2D" w14:textId="77777777" w:rsidR="00A24F4B" w:rsidRPr="00CA7A72" w:rsidRDefault="00A24F4B" w:rsidP="00A24F4B">
      <w:pPr>
        <w:spacing w:line="288" w:lineRule="auto"/>
        <w:rPr>
          <w:rFonts w:ascii="Arial" w:hAnsi="Arial"/>
          <w:sz w:val="24"/>
          <w:szCs w:val="24"/>
        </w:rPr>
      </w:pPr>
    </w:p>
    <w:p w14:paraId="25CC2D4B" w14:textId="7BE4F447" w:rsidR="00A24F4B" w:rsidRPr="00CA7A72" w:rsidRDefault="00A24F4B" w:rsidP="00A24F4B">
      <w:pPr>
        <w:spacing w:line="288" w:lineRule="auto"/>
        <w:rPr>
          <w:rFonts w:ascii="Arial" w:hAnsi="Arial"/>
          <w:sz w:val="24"/>
          <w:szCs w:val="24"/>
        </w:rPr>
      </w:pPr>
      <w:r w:rsidRPr="00CA7A72">
        <w:rPr>
          <w:rFonts w:ascii="Arial" w:hAnsi="Arial"/>
          <w:sz w:val="24"/>
          <w:szCs w:val="24"/>
        </w:rPr>
        <w:t>The Renewable Thermal Collaborative (RTC) serves as the leading coalition for organizations that are committed to scaling up renewable heating and cooling at their facilities and dramatically cutting carbon emissions.</w:t>
      </w:r>
      <w:r w:rsidRPr="00CA7A72">
        <w:rPr>
          <w:rStyle w:val="FootnoteReference"/>
          <w:rFonts w:ascii="Arial" w:hAnsi="Arial"/>
          <w:sz w:val="24"/>
          <w:szCs w:val="24"/>
        </w:rPr>
        <w:footnoteReference w:id="1"/>
      </w:r>
      <w:r w:rsidRPr="00CA7A72">
        <w:rPr>
          <w:rFonts w:ascii="Arial" w:hAnsi="Arial"/>
          <w:sz w:val="24"/>
          <w:szCs w:val="24"/>
        </w:rPr>
        <w:t xml:space="preserve"> RTC members are industrial and commercial thermal energy buyers with ambitious emissions reductions targets who recognize the urgent need to meet the growing demand for renewable heating and cooling in a manner that delivers sustainable, cost-competitive options at scale.</w:t>
      </w:r>
    </w:p>
    <w:p w14:paraId="461D0C7C" w14:textId="77777777" w:rsidR="00A24F4B" w:rsidRPr="00CA7A72" w:rsidRDefault="00A24F4B" w:rsidP="00A24F4B">
      <w:pPr>
        <w:spacing w:line="288" w:lineRule="auto"/>
        <w:rPr>
          <w:rFonts w:ascii="Arial" w:hAnsi="Arial"/>
          <w:sz w:val="24"/>
          <w:szCs w:val="24"/>
        </w:rPr>
      </w:pPr>
    </w:p>
    <w:p w14:paraId="16885787" w14:textId="096B6E8F" w:rsidR="00A24F4B" w:rsidRPr="00CA7A72" w:rsidRDefault="00A24F4B" w:rsidP="00A24F4B">
      <w:pPr>
        <w:spacing w:line="288" w:lineRule="auto"/>
        <w:rPr>
          <w:rFonts w:ascii="Arial" w:hAnsi="Arial"/>
          <w:sz w:val="24"/>
          <w:szCs w:val="24"/>
        </w:rPr>
      </w:pPr>
      <w:r w:rsidRPr="00CA7A72">
        <w:rPr>
          <w:rFonts w:ascii="Arial" w:hAnsi="Arial"/>
          <w:sz w:val="24"/>
          <w:szCs w:val="24"/>
        </w:rPr>
        <w:t xml:space="preserve">We agree that the Infrastructure Investment and Jobs Act (Public Law 117-58) provides a once-in-a-generation opportunity to grow a sustainable, resilient, and equitable economy and that investing in the development of green hydrogen can help to further that effort. A wide range of renewable technologies, including green hydrogen, will be needed to address the various thermal needs of industrial energy users. Developing green hydrogen </w:t>
      </w:r>
      <w:r w:rsidR="0063299B" w:rsidRPr="00CA7A72">
        <w:rPr>
          <w:rFonts w:ascii="Arial" w:hAnsi="Arial"/>
          <w:sz w:val="24"/>
          <w:szCs w:val="24"/>
        </w:rPr>
        <w:t>economically</w:t>
      </w:r>
      <w:r w:rsidR="00247A9F" w:rsidRPr="00CA7A72">
        <w:rPr>
          <w:rFonts w:ascii="Arial" w:hAnsi="Arial"/>
          <w:sz w:val="24"/>
          <w:szCs w:val="24"/>
        </w:rPr>
        <w:t xml:space="preserve"> </w:t>
      </w:r>
      <w:r w:rsidRPr="00CA7A72">
        <w:rPr>
          <w:rFonts w:ascii="Arial" w:hAnsi="Arial"/>
          <w:sz w:val="24"/>
          <w:szCs w:val="24"/>
        </w:rPr>
        <w:t xml:space="preserve">and reducing deployment costs will be critical to </w:t>
      </w:r>
      <w:r w:rsidR="00A212F8" w:rsidRPr="00CA7A72">
        <w:rPr>
          <w:rFonts w:ascii="Arial" w:hAnsi="Arial"/>
          <w:sz w:val="24"/>
          <w:szCs w:val="24"/>
        </w:rPr>
        <w:t>addressing</w:t>
      </w:r>
      <w:r w:rsidRPr="00CA7A72">
        <w:rPr>
          <w:rFonts w:ascii="Arial" w:hAnsi="Arial"/>
          <w:sz w:val="24"/>
          <w:szCs w:val="24"/>
        </w:rPr>
        <w:t xml:space="preserve"> climate change</w:t>
      </w:r>
      <w:r w:rsidR="0040287C" w:rsidRPr="00CA7A72">
        <w:rPr>
          <w:rFonts w:ascii="Arial" w:hAnsi="Arial"/>
          <w:sz w:val="24"/>
          <w:szCs w:val="24"/>
        </w:rPr>
        <w:t xml:space="preserve">, </w:t>
      </w:r>
      <w:r w:rsidR="006D5BB7" w:rsidRPr="00CA7A72">
        <w:rPr>
          <w:rFonts w:ascii="Arial" w:hAnsi="Arial"/>
          <w:sz w:val="24"/>
          <w:szCs w:val="24"/>
        </w:rPr>
        <w:t xml:space="preserve">while </w:t>
      </w:r>
      <w:r w:rsidRPr="00CA7A72">
        <w:rPr>
          <w:rFonts w:ascii="Arial" w:hAnsi="Arial"/>
          <w:sz w:val="24"/>
          <w:szCs w:val="24"/>
        </w:rPr>
        <w:t>ensuring that the U.S. is a global leader in developing renewable thermal technologies and that U.S. companies secure any competitive advantages from being early adopters of renewable thermal technologies. A focused effort on green hydrogen development can help to overcome technical barriers, reduce costs for deployment, and achieve significant emissions reductions from the industrial and buildings sectors</w:t>
      </w:r>
      <w:r w:rsidR="008C6906" w:rsidRPr="00CA7A72">
        <w:rPr>
          <w:rFonts w:ascii="Arial" w:hAnsi="Arial"/>
          <w:sz w:val="24"/>
          <w:szCs w:val="24"/>
        </w:rPr>
        <w:t xml:space="preserve"> and economywide.</w:t>
      </w:r>
    </w:p>
    <w:p w14:paraId="409AA24B" w14:textId="1ED5DC16" w:rsidR="00A24F4B" w:rsidRPr="00CA7A72" w:rsidRDefault="00A24F4B" w:rsidP="00A24F4B">
      <w:pPr>
        <w:spacing w:line="288" w:lineRule="auto"/>
        <w:rPr>
          <w:rFonts w:ascii="Arial" w:hAnsi="Arial"/>
          <w:sz w:val="24"/>
          <w:szCs w:val="24"/>
        </w:rPr>
      </w:pPr>
    </w:p>
    <w:p w14:paraId="536AC448" w14:textId="63B02507" w:rsidR="00842012" w:rsidRPr="00CA7A72" w:rsidRDefault="00842012" w:rsidP="00842012">
      <w:pPr>
        <w:spacing w:line="288" w:lineRule="auto"/>
        <w:rPr>
          <w:rFonts w:ascii="Arial" w:hAnsi="Arial"/>
          <w:b/>
          <w:bCs/>
          <w:sz w:val="24"/>
          <w:szCs w:val="24"/>
        </w:rPr>
      </w:pPr>
      <w:r w:rsidRPr="00CA7A72">
        <w:rPr>
          <w:rFonts w:ascii="Arial" w:hAnsi="Arial"/>
          <w:b/>
          <w:bCs/>
          <w:sz w:val="24"/>
          <w:szCs w:val="24"/>
        </w:rPr>
        <w:t>3.e. How might hydrogen production be constrained by the availability of clean electricity or natural gas supply and distribution?</w:t>
      </w:r>
    </w:p>
    <w:p w14:paraId="0D68F1B1" w14:textId="7789629E" w:rsidR="00842012" w:rsidRPr="00CA7A72" w:rsidRDefault="00842012" w:rsidP="00A24F4B">
      <w:pPr>
        <w:spacing w:line="288" w:lineRule="auto"/>
        <w:rPr>
          <w:rFonts w:ascii="Arial" w:hAnsi="Arial"/>
          <w:sz w:val="24"/>
          <w:szCs w:val="24"/>
        </w:rPr>
      </w:pPr>
    </w:p>
    <w:p w14:paraId="01C037D9" w14:textId="20806256" w:rsidR="0070055A" w:rsidRPr="00CA7A72" w:rsidRDefault="00842012" w:rsidP="00A24F4B">
      <w:pPr>
        <w:spacing w:line="288" w:lineRule="auto"/>
        <w:rPr>
          <w:rFonts w:ascii="Arial" w:hAnsi="Arial"/>
          <w:sz w:val="24"/>
          <w:szCs w:val="24"/>
        </w:rPr>
      </w:pPr>
      <w:r w:rsidRPr="00CA7A72">
        <w:rPr>
          <w:rFonts w:ascii="Arial" w:hAnsi="Arial"/>
          <w:sz w:val="24"/>
          <w:szCs w:val="24"/>
        </w:rPr>
        <w:t xml:space="preserve">Green hydrogen is </w:t>
      </w:r>
      <w:r w:rsidR="00E06DB7" w:rsidRPr="00CA7A72">
        <w:rPr>
          <w:rFonts w:ascii="Arial" w:hAnsi="Arial"/>
          <w:sz w:val="24"/>
          <w:szCs w:val="24"/>
        </w:rPr>
        <w:t xml:space="preserve">created </w:t>
      </w:r>
      <w:r w:rsidR="00613CAB" w:rsidRPr="00CA7A72">
        <w:rPr>
          <w:rFonts w:ascii="Arial" w:hAnsi="Arial"/>
          <w:sz w:val="24"/>
          <w:szCs w:val="24"/>
        </w:rPr>
        <w:t>by</w:t>
      </w:r>
      <w:r w:rsidR="008152FF" w:rsidRPr="00CA7A72">
        <w:rPr>
          <w:rFonts w:ascii="Arial" w:hAnsi="Arial"/>
          <w:sz w:val="24"/>
          <w:szCs w:val="24"/>
        </w:rPr>
        <w:t xml:space="preserve"> </w:t>
      </w:r>
      <w:r w:rsidR="00EF1068" w:rsidRPr="00CA7A72">
        <w:rPr>
          <w:rFonts w:ascii="Arial" w:hAnsi="Arial"/>
          <w:sz w:val="24"/>
          <w:szCs w:val="24"/>
        </w:rPr>
        <w:t xml:space="preserve">chemically </w:t>
      </w:r>
      <w:r w:rsidR="008152FF" w:rsidRPr="00CA7A72">
        <w:rPr>
          <w:rFonts w:ascii="Arial" w:hAnsi="Arial"/>
          <w:sz w:val="24"/>
          <w:szCs w:val="24"/>
        </w:rPr>
        <w:t>separating water through</w:t>
      </w:r>
      <w:r w:rsidR="00E06DB7" w:rsidRPr="00CA7A72">
        <w:rPr>
          <w:rFonts w:ascii="Arial" w:hAnsi="Arial"/>
          <w:sz w:val="24"/>
          <w:szCs w:val="24"/>
        </w:rPr>
        <w:t xml:space="preserve"> electrolysis powered by renewable electricity resources such as wind and solar. </w:t>
      </w:r>
      <w:r w:rsidRPr="00CA7A72">
        <w:rPr>
          <w:rFonts w:ascii="Arial" w:hAnsi="Arial"/>
          <w:sz w:val="24"/>
          <w:szCs w:val="24"/>
        </w:rPr>
        <w:t xml:space="preserve">While green hydrogen has </w:t>
      </w:r>
      <w:r w:rsidRPr="00CA7A72">
        <w:rPr>
          <w:rFonts w:ascii="Arial" w:hAnsi="Arial"/>
          <w:sz w:val="24"/>
          <w:szCs w:val="24"/>
        </w:rPr>
        <w:lastRenderedPageBreak/>
        <w:t xml:space="preserve">the potential to reduce thermal emissions, including industrial emissions, there are barriers to </w:t>
      </w:r>
      <w:r w:rsidR="00E06DB7" w:rsidRPr="00CA7A72">
        <w:rPr>
          <w:rFonts w:ascii="Arial" w:hAnsi="Arial"/>
          <w:sz w:val="24"/>
          <w:szCs w:val="24"/>
        </w:rPr>
        <w:t xml:space="preserve">large-scale </w:t>
      </w:r>
      <w:r w:rsidRPr="00CA7A72">
        <w:rPr>
          <w:rFonts w:ascii="Arial" w:hAnsi="Arial"/>
          <w:sz w:val="24"/>
          <w:szCs w:val="24"/>
        </w:rPr>
        <w:t xml:space="preserve">green hydrogen production. Producing significant quantities of green hydrogen will require </w:t>
      </w:r>
      <w:r w:rsidR="00347383" w:rsidRPr="00CA7A72">
        <w:rPr>
          <w:rFonts w:ascii="Arial" w:hAnsi="Arial"/>
          <w:sz w:val="24"/>
          <w:szCs w:val="24"/>
        </w:rPr>
        <w:t xml:space="preserve">a massive </w:t>
      </w:r>
      <w:r w:rsidRPr="00CA7A72">
        <w:rPr>
          <w:rFonts w:ascii="Arial" w:hAnsi="Arial"/>
          <w:sz w:val="24"/>
          <w:szCs w:val="24"/>
        </w:rPr>
        <w:t xml:space="preserve">deployment of renewable electricity generation as well as </w:t>
      </w:r>
      <w:r w:rsidR="005D3D50" w:rsidRPr="00CA7A72">
        <w:rPr>
          <w:rFonts w:ascii="Arial" w:hAnsi="Arial"/>
          <w:sz w:val="24"/>
          <w:szCs w:val="24"/>
        </w:rPr>
        <w:t xml:space="preserve">the corresponding </w:t>
      </w:r>
      <w:r w:rsidRPr="00CA7A72">
        <w:rPr>
          <w:rFonts w:ascii="Arial" w:hAnsi="Arial"/>
          <w:sz w:val="24"/>
          <w:szCs w:val="24"/>
        </w:rPr>
        <w:t xml:space="preserve">transmission. </w:t>
      </w:r>
    </w:p>
    <w:p w14:paraId="01495678" w14:textId="77777777" w:rsidR="00417E02" w:rsidRPr="00CA7A72" w:rsidRDefault="00417E02" w:rsidP="00A24F4B">
      <w:pPr>
        <w:spacing w:line="288" w:lineRule="auto"/>
        <w:rPr>
          <w:rFonts w:ascii="Arial" w:hAnsi="Arial"/>
          <w:sz w:val="24"/>
          <w:szCs w:val="24"/>
        </w:rPr>
      </w:pPr>
    </w:p>
    <w:p w14:paraId="7586E1F3" w14:textId="0777018E" w:rsidR="00E16F16" w:rsidRPr="00CA7A72" w:rsidRDefault="00CE33E5" w:rsidP="00A24F4B">
      <w:pPr>
        <w:spacing w:line="288" w:lineRule="auto"/>
        <w:rPr>
          <w:rFonts w:ascii="Arial" w:hAnsi="Arial"/>
          <w:sz w:val="24"/>
          <w:szCs w:val="24"/>
        </w:rPr>
      </w:pPr>
      <w:r w:rsidRPr="00CA7A72">
        <w:rPr>
          <w:rFonts w:ascii="Arial" w:hAnsi="Arial"/>
          <w:sz w:val="24"/>
          <w:szCs w:val="24"/>
        </w:rPr>
        <w:t>Not h</w:t>
      </w:r>
      <w:r w:rsidR="009777C2" w:rsidRPr="00CA7A72">
        <w:rPr>
          <w:rFonts w:ascii="Arial" w:hAnsi="Arial"/>
          <w:sz w:val="24"/>
          <w:szCs w:val="24"/>
        </w:rPr>
        <w:t>aving access to 100 percent renewable electricity for electrolysis</w:t>
      </w:r>
      <w:r w:rsidR="00831A11" w:rsidRPr="00CA7A72">
        <w:rPr>
          <w:rFonts w:ascii="Arial" w:hAnsi="Arial"/>
          <w:sz w:val="24"/>
          <w:szCs w:val="24"/>
        </w:rPr>
        <w:t xml:space="preserve"> should not hold us back. T</w:t>
      </w:r>
      <w:r w:rsidR="00896D1F" w:rsidRPr="00CA7A72">
        <w:rPr>
          <w:rFonts w:ascii="Arial" w:hAnsi="Arial"/>
          <w:sz w:val="24"/>
          <w:szCs w:val="24"/>
        </w:rPr>
        <w:t xml:space="preserve">he </w:t>
      </w:r>
      <w:r w:rsidR="00FD7E3C" w:rsidRPr="00CA7A72">
        <w:rPr>
          <w:rFonts w:ascii="Arial" w:hAnsi="Arial"/>
          <w:sz w:val="24"/>
          <w:szCs w:val="24"/>
        </w:rPr>
        <w:t xml:space="preserve">carbon intensity of the </w:t>
      </w:r>
      <w:r w:rsidR="00D24480" w:rsidRPr="00CA7A72">
        <w:rPr>
          <w:rFonts w:ascii="Arial" w:hAnsi="Arial"/>
          <w:sz w:val="24"/>
          <w:szCs w:val="24"/>
        </w:rPr>
        <w:t>U</w:t>
      </w:r>
      <w:r w:rsidR="00AD6984" w:rsidRPr="00CA7A72">
        <w:rPr>
          <w:rFonts w:ascii="Arial" w:hAnsi="Arial"/>
          <w:sz w:val="24"/>
          <w:szCs w:val="24"/>
        </w:rPr>
        <w:t>nited States</w:t>
      </w:r>
      <w:r w:rsidR="00D24480" w:rsidRPr="00CA7A72">
        <w:rPr>
          <w:rFonts w:ascii="Arial" w:hAnsi="Arial"/>
          <w:sz w:val="24"/>
          <w:szCs w:val="24"/>
        </w:rPr>
        <w:t xml:space="preserve"> </w:t>
      </w:r>
      <w:r w:rsidR="0070055A" w:rsidRPr="00CA7A72">
        <w:rPr>
          <w:rFonts w:ascii="Arial" w:hAnsi="Arial"/>
          <w:sz w:val="24"/>
          <w:szCs w:val="24"/>
        </w:rPr>
        <w:t xml:space="preserve">electricity grid </w:t>
      </w:r>
      <w:r w:rsidR="00FD7E3C" w:rsidRPr="00CA7A72">
        <w:rPr>
          <w:rFonts w:ascii="Arial" w:hAnsi="Arial"/>
          <w:sz w:val="24"/>
          <w:szCs w:val="24"/>
        </w:rPr>
        <w:t xml:space="preserve">continues to </w:t>
      </w:r>
      <w:r w:rsidR="0049288F" w:rsidRPr="00CA7A72">
        <w:rPr>
          <w:rFonts w:ascii="Arial" w:hAnsi="Arial"/>
          <w:sz w:val="24"/>
          <w:szCs w:val="24"/>
        </w:rPr>
        <w:t>decrease,</w:t>
      </w:r>
      <w:r w:rsidR="002C7B87" w:rsidRPr="00CA7A72">
        <w:rPr>
          <w:rFonts w:ascii="Arial" w:hAnsi="Arial"/>
          <w:sz w:val="24"/>
          <w:szCs w:val="24"/>
        </w:rPr>
        <w:t xml:space="preserve"> and it is possible to </w:t>
      </w:r>
      <w:r w:rsidR="00F0051D" w:rsidRPr="00CA7A72">
        <w:rPr>
          <w:rFonts w:ascii="Arial" w:hAnsi="Arial"/>
          <w:sz w:val="24"/>
          <w:szCs w:val="24"/>
        </w:rPr>
        <w:t xml:space="preserve">achieve emission reductions </w:t>
      </w:r>
      <w:r w:rsidR="004A4287" w:rsidRPr="00CA7A72">
        <w:rPr>
          <w:rFonts w:ascii="Arial" w:hAnsi="Arial"/>
          <w:sz w:val="24"/>
          <w:szCs w:val="24"/>
        </w:rPr>
        <w:t>with hydrogen</w:t>
      </w:r>
      <w:r w:rsidR="00A17FD4" w:rsidRPr="00CA7A72">
        <w:rPr>
          <w:rFonts w:ascii="Arial" w:hAnsi="Arial"/>
          <w:sz w:val="24"/>
          <w:szCs w:val="24"/>
        </w:rPr>
        <w:t xml:space="preserve"> substitution</w:t>
      </w:r>
      <w:r w:rsidR="00912876" w:rsidRPr="00CA7A72">
        <w:rPr>
          <w:rFonts w:ascii="Arial" w:hAnsi="Arial"/>
          <w:sz w:val="24"/>
          <w:szCs w:val="24"/>
        </w:rPr>
        <w:t xml:space="preserve"> for fossil fuels</w:t>
      </w:r>
      <w:r w:rsidR="00771703" w:rsidRPr="00CA7A72">
        <w:rPr>
          <w:rFonts w:ascii="Arial" w:hAnsi="Arial"/>
          <w:sz w:val="24"/>
          <w:szCs w:val="24"/>
        </w:rPr>
        <w:t xml:space="preserve">. </w:t>
      </w:r>
      <w:r w:rsidR="00FF5A5A" w:rsidRPr="00CA7A72">
        <w:rPr>
          <w:rFonts w:ascii="Arial" w:hAnsi="Arial"/>
          <w:sz w:val="24"/>
          <w:szCs w:val="24"/>
        </w:rPr>
        <w:t xml:space="preserve">In 2020, </w:t>
      </w:r>
      <w:r w:rsidR="00391730" w:rsidRPr="00CA7A72">
        <w:rPr>
          <w:rFonts w:ascii="Arial" w:hAnsi="Arial"/>
          <w:sz w:val="24"/>
          <w:szCs w:val="24"/>
        </w:rPr>
        <w:t xml:space="preserve">the carbon intensity of the </w:t>
      </w:r>
      <w:r w:rsidR="006059CD" w:rsidRPr="00CA7A72">
        <w:rPr>
          <w:rFonts w:ascii="Arial" w:hAnsi="Arial"/>
          <w:sz w:val="24"/>
          <w:szCs w:val="24"/>
        </w:rPr>
        <w:t xml:space="preserve">U.S. </w:t>
      </w:r>
      <w:r w:rsidR="00BF27A0" w:rsidRPr="00CA7A72">
        <w:rPr>
          <w:rFonts w:ascii="Arial" w:hAnsi="Arial"/>
          <w:sz w:val="24"/>
          <w:szCs w:val="24"/>
        </w:rPr>
        <w:t xml:space="preserve">grid fell to 818 </w:t>
      </w:r>
      <w:proofErr w:type="spellStart"/>
      <w:r w:rsidR="00BF27A0" w:rsidRPr="00CA7A72">
        <w:rPr>
          <w:rFonts w:ascii="Arial" w:hAnsi="Arial"/>
          <w:sz w:val="24"/>
          <w:szCs w:val="24"/>
        </w:rPr>
        <w:t>lb</w:t>
      </w:r>
      <w:proofErr w:type="spellEnd"/>
      <w:r w:rsidR="00BF27A0" w:rsidRPr="00CA7A72">
        <w:rPr>
          <w:rFonts w:ascii="Arial" w:hAnsi="Arial"/>
          <w:sz w:val="24"/>
          <w:szCs w:val="24"/>
        </w:rPr>
        <w:t xml:space="preserve"> CO</w:t>
      </w:r>
      <w:r w:rsidR="00BF27A0" w:rsidRPr="00CA7A72">
        <w:rPr>
          <w:rFonts w:ascii="Arial" w:hAnsi="Arial"/>
          <w:sz w:val="24"/>
          <w:szCs w:val="24"/>
          <w:vertAlign w:val="subscript"/>
        </w:rPr>
        <w:t>2</w:t>
      </w:r>
      <w:r w:rsidR="00BF27A0" w:rsidRPr="00CA7A72">
        <w:rPr>
          <w:rFonts w:ascii="Arial" w:hAnsi="Arial"/>
          <w:sz w:val="24"/>
          <w:szCs w:val="24"/>
        </w:rPr>
        <w:t>/MWh</w:t>
      </w:r>
      <w:r w:rsidR="006059CD" w:rsidRPr="00CA7A72">
        <w:rPr>
          <w:rFonts w:ascii="Arial" w:hAnsi="Arial"/>
          <w:sz w:val="24"/>
          <w:szCs w:val="24"/>
        </w:rPr>
        <w:t xml:space="preserve">, though there is </w:t>
      </w:r>
      <w:r w:rsidR="00340E60" w:rsidRPr="00CA7A72">
        <w:rPr>
          <w:rFonts w:ascii="Arial" w:hAnsi="Arial"/>
          <w:sz w:val="24"/>
          <w:szCs w:val="24"/>
        </w:rPr>
        <w:t>wide regional variation</w:t>
      </w:r>
      <w:r w:rsidR="00BF27A0" w:rsidRPr="00CA7A72">
        <w:rPr>
          <w:rFonts w:ascii="Arial" w:hAnsi="Arial"/>
          <w:sz w:val="24"/>
          <w:szCs w:val="24"/>
        </w:rPr>
        <w:t>.</w:t>
      </w:r>
      <w:r w:rsidR="003E6760" w:rsidRPr="00CA7A72">
        <w:rPr>
          <w:rStyle w:val="FootnoteReference"/>
          <w:rFonts w:ascii="Arial" w:hAnsi="Arial"/>
          <w:sz w:val="24"/>
          <w:szCs w:val="24"/>
        </w:rPr>
        <w:footnoteReference w:id="2"/>
      </w:r>
      <w:r w:rsidR="00BF27A0" w:rsidRPr="00CA7A72">
        <w:rPr>
          <w:rFonts w:ascii="Arial" w:hAnsi="Arial"/>
          <w:sz w:val="24"/>
          <w:szCs w:val="24"/>
        </w:rPr>
        <w:t xml:space="preserve"> </w:t>
      </w:r>
      <w:r w:rsidR="00771703" w:rsidRPr="00CA7A72">
        <w:rPr>
          <w:rFonts w:ascii="Arial" w:hAnsi="Arial"/>
          <w:sz w:val="24"/>
          <w:szCs w:val="24"/>
        </w:rPr>
        <w:t xml:space="preserve">Since 2005, </w:t>
      </w:r>
      <w:r w:rsidR="0027590E" w:rsidRPr="00CA7A72">
        <w:rPr>
          <w:rFonts w:ascii="Arial" w:hAnsi="Arial"/>
          <w:sz w:val="24"/>
          <w:szCs w:val="24"/>
        </w:rPr>
        <w:t xml:space="preserve">U.S. </w:t>
      </w:r>
      <w:r w:rsidR="00771703" w:rsidRPr="00CA7A72">
        <w:rPr>
          <w:rFonts w:ascii="Arial" w:hAnsi="Arial"/>
          <w:sz w:val="24"/>
          <w:szCs w:val="24"/>
        </w:rPr>
        <w:t xml:space="preserve">power sector emissions have declined by 35 percent. </w:t>
      </w:r>
      <w:r w:rsidR="00BA2227" w:rsidRPr="00CA7A72">
        <w:rPr>
          <w:rFonts w:ascii="Arial" w:hAnsi="Arial"/>
          <w:sz w:val="24"/>
          <w:szCs w:val="24"/>
        </w:rPr>
        <w:t xml:space="preserve">As we </w:t>
      </w:r>
      <w:r w:rsidR="00F74466" w:rsidRPr="00CA7A72">
        <w:rPr>
          <w:rFonts w:ascii="Arial" w:hAnsi="Arial"/>
          <w:sz w:val="24"/>
          <w:szCs w:val="24"/>
        </w:rPr>
        <w:t>accelerate the effort to deploy</w:t>
      </w:r>
      <w:r w:rsidR="00080777" w:rsidRPr="00CA7A72">
        <w:rPr>
          <w:rFonts w:ascii="Arial" w:hAnsi="Arial"/>
          <w:sz w:val="24"/>
          <w:szCs w:val="24"/>
        </w:rPr>
        <w:t xml:space="preserve"> </w:t>
      </w:r>
      <w:r w:rsidR="00F74466" w:rsidRPr="00CA7A72">
        <w:rPr>
          <w:rFonts w:ascii="Arial" w:hAnsi="Arial"/>
          <w:sz w:val="24"/>
          <w:szCs w:val="24"/>
        </w:rPr>
        <w:t>greater quantities of</w:t>
      </w:r>
      <w:r w:rsidR="00080777" w:rsidRPr="00CA7A72">
        <w:rPr>
          <w:rFonts w:ascii="Arial" w:hAnsi="Arial"/>
          <w:sz w:val="24"/>
          <w:szCs w:val="24"/>
        </w:rPr>
        <w:t xml:space="preserve"> </w:t>
      </w:r>
      <w:r w:rsidR="000604B2" w:rsidRPr="00CA7A72">
        <w:rPr>
          <w:rFonts w:ascii="Arial" w:hAnsi="Arial"/>
          <w:sz w:val="24"/>
          <w:szCs w:val="24"/>
        </w:rPr>
        <w:t xml:space="preserve">zero-emission generation technologies and </w:t>
      </w:r>
      <w:r w:rsidR="004725E1" w:rsidRPr="00CA7A72">
        <w:rPr>
          <w:rFonts w:ascii="Arial" w:hAnsi="Arial"/>
          <w:sz w:val="24"/>
          <w:szCs w:val="24"/>
        </w:rPr>
        <w:t>further decarbonize</w:t>
      </w:r>
      <w:r w:rsidR="00080777" w:rsidRPr="00CA7A72">
        <w:rPr>
          <w:rFonts w:ascii="Arial" w:hAnsi="Arial"/>
          <w:sz w:val="24"/>
          <w:szCs w:val="24"/>
        </w:rPr>
        <w:t xml:space="preserve"> the grid</w:t>
      </w:r>
      <w:r w:rsidR="008950BC" w:rsidRPr="00CA7A72">
        <w:rPr>
          <w:rFonts w:ascii="Arial" w:hAnsi="Arial"/>
          <w:sz w:val="24"/>
          <w:szCs w:val="24"/>
        </w:rPr>
        <w:t>, we can</w:t>
      </w:r>
      <w:r w:rsidR="00D57D0B" w:rsidRPr="00CA7A72">
        <w:rPr>
          <w:rFonts w:ascii="Arial" w:hAnsi="Arial"/>
          <w:sz w:val="24"/>
          <w:szCs w:val="24"/>
        </w:rPr>
        <w:t xml:space="preserve"> simultaneously</w:t>
      </w:r>
      <w:r w:rsidR="008950BC" w:rsidRPr="00CA7A72">
        <w:rPr>
          <w:rFonts w:ascii="Arial" w:hAnsi="Arial"/>
          <w:sz w:val="24"/>
          <w:szCs w:val="24"/>
        </w:rPr>
        <w:t xml:space="preserve"> focus on bringing down the cost of </w:t>
      </w:r>
      <w:r w:rsidR="007B59A3" w:rsidRPr="00CA7A72">
        <w:rPr>
          <w:rFonts w:ascii="Arial" w:hAnsi="Arial"/>
          <w:sz w:val="24"/>
          <w:szCs w:val="24"/>
        </w:rPr>
        <w:t xml:space="preserve">equipment (e.g., </w:t>
      </w:r>
      <w:r w:rsidR="008950BC" w:rsidRPr="00CA7A72">
        <w:rPr>
          <w:rFonts w:ascii="Arial" w:hAnsi="Arial"/>
          <w:sz w:val="24"/>
          <w:szCs w:val="24"/>
        </w:rPr>
        <w:t>electrolyzers</w:t>
      </w:r>
      <w:r w:rsidR="007B59A3" w:rsidRPr="00CA7A72">
        <w:rPr>
          <w:rFonts w:ascii="Arial" w:hAnsi="Arial"/>
          <w:sz w:val="24"/>
          <w:szCs w:val="24"/>
        </w:rPr>
        <w:t>)</w:t>
      </w:r>
      <w:r w:rsidR="00CE14ED" w:rsidRPr="00CA7A72">
        <w:rPr>
          <w:rFonts w:ascii="Arial" w:hAnsi="Arial"/>
          <w:sz w:val="24"/>
          <w:szCs w:val="24"/>
        </w:rPr>
        <w:t xml:space="preserve">, </w:t>
      </w:r>
      <w:r w:rsidR="00891437" w:rsidRPr="00CA7A72">
        <w:rPr>
          <w:rFonts w:ascii="Arial" w:hAnsi="Arial"/>
          <w:sz w:val="24"/>
          <w:szCs w:val="24"/>
        </w:rPr>
        <w:t xml:space="preserve">developing </w:t>
      </w:r>
      <w:r w:rsidR="001F5A28" w:rsidRPr="00CA7A72">
        <w:rPr>
          <w:rFonts w:ascii="Arial" w:hAnsi="Arial"/>
          <w:sz w:val="24"/>
          <w:szCs w:val="24"/>
        </w:rPr>
        <w:t xml:space="preserve">and deploying </w:t>
      </w:r>
      <w:r w:rsidR="00891437" w:rsidRPr="00CA7A72">
        <w:rPr>
          <w:rFonts w:ascii="Arial" w:hAnsi="Arial"/>
          <w:sz w:val="24"/>
          <w:szCs w:val="24"/>
        </w:rPr>
        <w:t xml:space="preserve">the </w:t>
      </w:r>
      <w:r w:rsidR="004D0E38" w:rsidRPr="00CA7A72">
        <w:rPr>
          <w:rFonts w:ascii="Arial" w:hAnsi="Arial"/>
          <w:sz w:val="24"/>
          <w:szCs w:val="24"/>
        </w:rPr>
        <w:t xml:space="preserve">ecosystem (i.e., infrastructure), and </w:t>
      </w:r>
      <w:r w:rsidR="00CE14ED" w:rsidRPr="00CA7A72">
        <w:rPr>
          <w:rFonts w:ascii="Arial" w:hAnsi="Arial"/>
          <w:sz w:val="24"/>
          <w:szCs w:val="24"/>
        </w:rPr>
        <w:t>building the market for green hydrogen</w:t>
      </w:r>
      <w:r w:rsidR="004D0E38" w:rsidRPr="00CA7A72">
        <w:rPr>
          <w:rFonts w:ascii="Arial" w:hAnsi="Arial"/>
          <w:sz w:val="24"/>
          <w:szCs w:val="24"/>
        </w:rPr>
        <w:t>.</w:t>
      </w:r>
    </w:p>
    <w:p w14:paraId="3F9F3162" w14:textId="77777777" w:rsidR="00E16F16" w:rsidRPr="00CA7A72" w:rsidRDefault="00E16F16" w:rsidP="00A24F4B">
      <w:pPr>
        <w:spacing w:line="288" w:lineRule="auto"/>
        <w:rPr>
          <w:rFonts w:ascii="Arial" w:hAnsi="Arial"/>
          <w:sz w:val="24"/>
          <w:szCs w:val="24"/>
        </w:rPr>
      </w:pPr>
    </w:p>
    <w:p w14:paraId="6C9948DF" w14:textId="014E899F" w:rsidR="00842012" w:rsidRPr="00CA7A72" w:rsidRDefault="00842012" w:rsidP="00A24F4B">
      <w:pPr>
        <w:spacing w:line="288" w:lineRule="auto"/>
        <w:rPr>
          <w:rFonts w:ascii="Arial" w:hAnsi="Arial"/>
          <w:sz w:val="24"/>
          <w:szCs w:val="24"/>
        </w:rPr>
      </w:pPr>
      <w:r w:rsidRPr="00CA7A72">
        <w:rPr>
          <w:rFonts w:ascii="Arial" w:hAnsi="Arial"/>
          <w:sz w:val="24"/>
          <w:szCs w:val="24"/>
        </w:rPr>
        <w:t>Green hydrogen and its associated infrastructure must be developed following sustainability principles that reduce negative environmental and social externalities and maximize biodiversity and social co-benefits.</w:t>
      </w:r>
    </w:p>
    <w:p w14:paraId="138D6245" w14:textId="31FFB554" w:rsidR="00FF149F" w:rsidRPr="00CA7A72" w:rsidRDefault="00FF149F" w:rsidP="00A24F4B">
      <w:pPr>
        <w:spacing w:line="288" w:lineRule="auto"/>
        <w:rPr>
          <w:rFonts w:ascii="Arial" w:hAnsi="Arial"/>
          <w:sz w:val="24"/>
          <w:szCs w:val="24"/>
        </w:rPr>
      </w:pPr>
    </w:p>
    <w:p w14:paraId="39DC1D33" w14:textId="2047A421" w:rsidR="00FF149F" w:rsidRPr="00CA7A72" w:rsidRDefault="00FF149F" w:rsidP="00A24F4B">
      <w:pPr>
        <w:spacing w:line="288" w:lineRule="auto"/>
        <w:rPr>
          <w:rFonts w:ascii="Arial" w:hAnsi="Arial"/>
          <w:sz w:val="24"/>
          <w:szCs w:val="24"/>
        </w:rPr>
      </w:pPr>
      <w:r w:rsidRPr="00CA7A72">
        <w:rPr>
          <w:rFonts w:ascii="Arial" w:hAnsi="Arial"/>
          <w:sz w:val="24"/>
          <w:szCs w:val="24"/>
        </w:rPr>
        <w:t xml:space="preserve">In addition, the existing gas pipeline system may provide a cost-effective way to transport hydrogen, but additional research is required to determine what quantities of hydrogen can be safely transported or what retrofits may be required. </w:t>
      </w:r>
      <w:r w:rsidR="00206ECE" w:rsidRPr="00CA7A72">
        <w:rPr>
          <w:rFonts w:ascii="Arial" w:hAnsi="Arial"/>
          <w:sz w:val="24"/>
          <w:szCs w:val="24"/>
        </w:rPr>
        <w:t>M</w:t>
      </w:r>
      <w:r w:rsidRPr="00CA7A72">
        <w:rPr>
          <w:rFonts w:ascii="Arial" w:hAnsi="Arial"/>
          <w:sz w:val="24"/>
          <w:szCs w:val="24"/>
        </w:rPr>
        <w:t xml:space="preserve">easures must be instituted throughout the supply chain to ensure </w:t>
      </w:r>
      <w:r w:rsidR="00206ECE" w:rsidRPr="00CA7A72">
        <w:rPr>
          <w:rFonts w:ascii="Arial" w:hAnsi="Arial"/>
          <w:sz w:val="24"/>
          <w:szCs w:val="24"/>
        </w:rPr>
        <w:t xml:space="preserve">the safety of </w:t>
      </w:r>
      <w:r w:rsidR="004A7FD7" w:rsidRPr="00CA7A72">
        <w:rPr>
          <w:rFonts w:ascii="Arial" w:hAnsi="Arial"/>
          <w:sz w:val="24"/>
          <w:szCs w:val="24"/>
        </w:rPr>
        <w:t xml:space="preserve">end users, </w:t>
      </w:r>
      <w:r w:rsidR="00A744CF" w:rsidRPr="00CA7A72">
        <w:rPr>
          <w:rFonts w:ascii="Arial" w:hAnsi="Arial"/>
          <w:sz w:val="24"/>
          <w:szCs w:val="24"/>
        </w:rPr>
        <w:t xml:space="preserve">the general </w:t>
      </w:r>
      <w:r w:rsidRPr="00CA7A72">
        <w:rPr>
          <w:rFonts w:ascii="Arial" w:hAnsi="Arial"/>
          <w:sz w:val="24"/>
          <w:szCs w:val="24"/>
        </w:rPr>
        <w:t xml:space="preserve">public, </w:t>
      </w:r>
      <w:r w:rsidR="00206ECE" w:rsidRPr="00CA7A72">
        <w:rPr>
          <w:rFonts w:ascii="Arial" w:hAnsi="Arial"/>
          <w:sz w:val="24"/>
          <w:szCs w:val="24"/>
        </w:rPr>
        <w:t>en</w:t>
      </w:r>
      <w:r w:rsidR="006F7A9F" w:rsidRPr="00CA7A72">
        <w:rPr>
          <w:rFonts w:ascii="Arial" w:hAnsi="Arial"/>
          <w:sz w:val="24"/>
          <w:szCs w:val="24"/>
        </w:rPr>
        <w:t xml:space="preserve">ergy </w:t>
      </w:r>
      <w:r w:rsidRPr="00CA7A72">
        <w:rPr>
          <w:rFonts w:ascii="Arial" w:hAnsi="Arial"/>
          <w:sz w:val="24"/>
          <w:szCs w:val="24"/>
        </w:rPr>
        <w:t>worker</w:t>
      </w:r>
      <w:r w:rsidR="00206ECE" w:rsidRPr="00CA7A72">
        <w:rPr>
          <w:rFonts w:ascii="Arial" w:hAnsi="Arial"/>
          <w:sz w:val="24"/>
          <w:szCs w:val="24"/>
        </w:rPr>
        <w:t>s</w:t>
      </w:r>
      <w:r w:rsidRPr="00CA7A72">
        <w:rPr>
          <w:rFonts w:ascii="Arial" w:hAnsi="Arial"/>
          <w:sz w:val="24"/>
          <w:szCs w:val="24"/>
        </w:rPr>
        <w:t xml:space="preserve">, and </w:t>
      </w:r>
      <w:r w:rsidR="006F7A9F" w:rsidRPr="00CA7A72">
        <w:rPr>
          <w:rFonts w:ascii="Arial" w:hAnsi="Arial"/>
          <w:sz w:val="24"/>
          <w:szCs w:val="24"/>
        </w:rPr>
        <w:t xml:space="preserve">the </w:t>
      </w:r>
      <w:r w:rsidRPr="00CA7A72">
        <w:rPr>
          <w:rFonts w:ascii="Arial" w:hAnsi="Arial"/>
          <w:sz w:val="24"/>
          <w:szCs w:val="24"/>
        </w:rPr>
        <w:t xml:space="preserve">environment </w:t>
      </w:r>
      <w:r w:rsidR="006F7A9F" w:rsidRPr="00CA7A72">
        <w:rPr>
          <w:rFonts w:ascii="Arial" w:hAnsi="Arial"/>
          <w:sz w:val="24"/>
          <w:szCs w:val="24"/>
        </w:rPr>
        <w:t>(e.g., minimizing leakage)</w:t>
      </w:r>
      <w:r w:rsidRPr="00CA7A72">
        <w:rPr>
          <w:rFonts w:ascii="Arial" w:hAnsi="Arial"/>
          <w:sz w:val="24"/>
          <w:szCs w:val="24"/>
        </w:rPr>
        <w:t>.</w:t>
      </w:r>
    </w:p>
    <w:p w14:paraId="2E8BA0FC" w14:textId="77777777" w:rsidR="0034534B" w:rsidRPr="00CA7A72" w:rsidRDefault="0034534B" w:rsidP="0034534B">
      <w:pPr>
        <w:spacing w:line="288" w:lineRule="auto"/>
        <w:rPr>
          <w:rFonts w:ascii="Arial" w:hAnsi="Arial"/>
          <w:sz w:val="24"/>
          <w:szCs w:val="24"/>
        </w:rPr>
      </w:pPr>
    </w:p>
    <w:p w14:paraId="16CDA42B" w14:textId="703C0F0B" w:rsidR="0034534B" w:rsidRPr="00CA7A72" w:rsidRDefault="0034534B" w:rsidP="0034534B">
      <w:pPr>
        <w:spacing w:line="288" w:lineRule="auto"/>
        <w:rPr>
          <w:rFonts w:ascii="Arial" w:hAnsi="Arial"/>
          <w:b/>
          <w:bCs/>
          <w:sz w:val="24"/>
          <w:szCs w:val="24"/>
        </w:rPr>
      </w:pPr>
      <w:r w:rsidRPr="00CA7A72">
        <w:rPr>
          <w:rFonts w:ascii="Arial" w:hAnsi="Arial"/>
          <w:b/>
          <w:bCs/>
          <w:sz w:val="24"/>
          <w:szCs w:val="24"/>
        </w:rPr>
        <w:t xml:space="preserve">33. What role/actions can DOE take to support reliable supply and demand for potential hydrogen producers and customers? </w:t>
      </w:r>
    </w:p>
    <w:p w14:paraId="6D24367E" w14:textId="3DABB4FF" w:rsidR="0034534B" w:rsidRPr="00CA7A72" w:rsidRDefault="0034534B" w:rsidP="00A24F4B">
      <w:pPr>
        <w:spacing w:line="288" w:lineRule="auto"/>
        <w:rPr>
          <w:rFonts w:ascii="Arial" w:hAnsi="Arial"/>
          <w:sz w:val="24"/>
          <w:szCs w:val="24"/>
        </w:rPr>
      </w:pPr>
    </w:p>
    <w:p w14:paraId="7F4B5F1E" w14:textId="01B32FE7" w:rsidR="0034534B" w:rsidRPr="00CA7A72" w:rsidRDefault="0034534B" w:rsidP="00A24F4B">
      <w:pPr>
        <w:spacing w:line="288" w:lineRule="auto"/>
        <w:rPr>
          <w:rFonts w:ascii="Arial" w:hAnsi="Arial"/>
          <w:sz w:val="24"/>
          <w:szCs w:val="24"/>
        </w:rPr>
      </w:pPr>
      <w:r w:rsidRPr="00CA7A72">
        <w:rPr>
          <w:rFonts w:ascii="Arial" w:hAnsi="Arial"/>
          <w:sz w:val="24"/>
          <w:szCs w:val="24"/>
        </w:rPr>
        <w:t>Using green hydrogen blended with or instead of natural gas for thermal energy provides an opportunity for the industrial and buildings sectors to reduce their emissions, but facilities will need support evaluating what amount of hydrogen their current equipment can use or what retrofits or upgrades may be required. Traceable certificates can allow end users to ensure that they are using green hydrogen.</w:t>
      </w:r>
    </w:p>
    <w:p w14:paraId="0FC263F5" w14:textId="52416810" w:rsidR="0034534B" w:rsidRPr="00CA7A72" w:rsidRDefault="0034534B" w:rsidP="00A24F4B">
      <w:pPr>
        <w:spacing w:line="288" w:lineRule="auto"/>
        <w:rPr>
          <w:rFonts w:ascii="Arial" w:hAnsi="Arial"/>
          <w:sz w:val="24"/>
          <w:szCs w:val="24"/>
        </w:rPr>
      </w:pPr>
    </w:p>
    <w:p w14:paraId="30BA90BA" w14:textId="29A100F1" w:rsidR="00734C59" w:rsidRPr="00CA7A72" w:rsidRDefault="00EB0E22" w:rsidP="00A24F4B">
      <w:pPr>
        <w:spacing w:line="288" w:lineRule="auto"/>
        <w:rPr>
          <w:rFonts w:ascii="Arial" w:hAnsi="Arial"/>
          <w:sz w:val="24"/>
          <w:szCs w:val="24"/>
        </w:rPr>
      </w:pPr>
      <w:r w:rsidRPr="00CA7A72">
        <w:rPr>
          <w:rFonts w:ascii="Arial" w:hAnsi="Arial"/>
          <w:sz w:val="24"/>
          <w:szCs w:val="24"/>
        </w:rPr>
        <w:lastRenderedPageBreak/>
        <w:t xml:space="preserve">Engaging potential industrial and commercial customers early on can help DOE to better understand hurdles to </w:t>
      </w:r>
      <w:r w:rsidR="00AA51BB" w:rsidRPr="00CA7A72">
        <w:rPr>
          <w:rFonts w:ascii="Arial" w:hAnsi="Arial"/>
          <w:sz w:val="24"/>
          <w:szCs w:val="24"/>
        </w:rPr>
        <w:t xml:space="preserve">green </w:t>
      </w:r>
      <w:r w:rsidRPr="00CA7A72">
        <w:rPr>
          <w:rFonts w:ascii="Arial" w:hAnsi="Arial"/>
          <w:sz w:val="24"/>
          <w:szCs w:val="24"/>
        </w:rPr>
        <w:t xml:space="preserve">hydrogen adoption and create plans </w:t>
      </w:r>
      <w:r w:rsidR="00AA51BB" w:rsidRPr="00CA7A72">
        <w:rPr>
          <w:rFonts w:ascii="Arial" w:hAnsi="Arial"/>
          <w:sz w:val="24"/>
          <w:szCs w:val="24"/>
        </w:rPr>
        <w:t>to</w:t>
      </w:r>
      <w:r w:rsidRPr="00CA7A72">
        <w:rPr>
          <w:rFonts w:ascii="Arial" w:hAnsi="Arial"/>
          <w:sz w:val="24"/>
          <w:szCs w:val="24"/>
        </w:rPr>
        <w:t xml:space="preserve"> lower these hurdles. </w:t>
      </w:r>
      <w:r w:rsidR="005E012F" w:rsidRPr="00CA7A72">
        <w:rPr>
          <w:rFonts w:ascii="Arial" w:hAnsi="Arial"/>
          <w:sz w:val="24"/>
          <w:szCs w:val="24"/>
        </w:rPr>
        <w:t>Ensuring that the hydrogen hubs’ work considers industrial and commercial customers’ needs, including the range of green hydrogen applications in industrial process heating, can help to support potential customers.</w:t>
      </w:r>
    </w:p>
    <w:p w14:paraId="6E9127B5" w14:textId="77777777" w:rsidR="00734C59" w:rsidRPr="00CA7A72" w:rsidRDefault="00734C59" w:rsidP="00A24F4B">
      <w:pPr>
        <w:spacing w:line="288" w:lineRule="auto"/>
        <w:rPr>
          <w:rFonts w:ascii="Arial" w:hAnsi="Arial"/>
          <w:sz w:val="24"/>
          <w:szCs w:val="24"/>
        </w:rPr>
      </w:pPr>
    </w:p>
    <w:p w14:paraId="67C6EFC3" w14:textId="125D5152" w:rsidR="00842012" w:rsidRPr="00CA7A72" w:rsidRDefault="005E012F" w:rsidP="00842012">
      <w:pPr>
        <w:spacing w:line="288" w:lineRule="auto"/>
        <w:rPr>
          <w:rFonts w:ascii="Arial" w:hAnsi="Arial"/>
          <w:b/>
          <w:bCs/>
          <w:sz w:val="24"/>
          <w:szCs w:val="24"/>
        </w:rPr>
      </w:pPr>
      <w:r w:rsidRPr="00CA7A72">
        <w:rPr>
          <w:rFonts w:ascii="Arial" w:hAnsi="Arial"/>
          <w:b/>
          <w:bCs/>
          <w:sz w:val="24"/>
          <w:szCs w:val="24"/>
        </w:rPr>
        <w:t xml:space="preserve">40. Please provide any additional information or input not specifically requested in the questions above that you believe would be valuable to help DOE develop a Regional Clean Hydrogen Hub FOA, including any specific criteria that DOE may take into consideration in implementing the Hub program. </w:t>
      </w:r>
    </w:p>
    <w:p w14:paraId="10CB35F9" w14:textId="77777777" w:rsidR="005E012F" w:rsidRPr="00CA7A72" w:rsidRDefault="005E012F" w:rsidP="00842012">
      <w:pPr>
        <w:spacing w:line="288" w:lineRule="auto"/>
        <w:rPr>
          <w:rFonts w:ascii="Arial" w:hAnsi="Arial"/>
          <w:sz w:val="24"/>
          <w:szCs w:val="24"/>
        </w:rPr>
      </w:pPr>
    </w:p>
    <w:p w14:paraId="6ACFC196" w14:textId="77777777" w:rsidR="005E012F" w:rsidRPr="00CA7A72" w:rsidRDefault="00842012" w:rsidP="00842012">
      <w:pPr>
        <w:spacing w:line="288" w:lineRule="auto"/>
        <w:rPr>
          <w:rFonts w:ascii="Arial" w:hAnsi="Arial"/>
          <w:sz w:val="24"/>
          <w:szCs w:val="24"/>
        </w:rPr>
      </w:pPr>
      <w:r w:rsidRPr="00CA7A72">
        <w:rPr>
          <w:rFonts w:ascii="Arial" w:hAnsi="Arial"/>
          <w:sz w:val="24"/>
          <w:szCs w:val="24"/>
        </w:rPr>
        <w:t xml:space="preserve">Green hydrogen is a promising industrial decarbonization solution but faces numerous barriers that need to be resolved as quickly as possible. Cost and complex technological issues such as how much hydrogen existing systems can use or what replacement equipment may be needed are top barriers. RTC members are also greatly interested in how hydrogen will be delivered. DOE’s support of green hydrogen research and development </w:t>
      </w:r>
      <w:r w:rsidR="00AB289F" w:rsidRPr="00CA7A72">
        <w:rPr>
          <w:rFonts w:ascii="Arial" w:hAnsi="Arial"/>
          <w:sz w:val="24"/>
          <w:szCs w:val="24"/>
        </w:rPr>
        <w:t xml:space="preserve">through the hydrogen hubs </w:t>
      </w:r>
      <w:r w:rsidRPr="00CA7A72">
        <w:rPr>
          <w:rFonts w:ascii="Arial" w:hAnsi="Arial"/>
          <w:sz w:val="24"/>
          <w:szCs w:val="24"/>
        </w:rPr>
        <w:t xml:space="preserve">can help to solve these and other challenges thermal energy buyers currently face. </w:t>
      </w:r>
    </w:p>
    <w:p w14:paraId="7389B59F" w14:textId="77777777" w:rsidR="005E012F" w:rsidRPr="00CA7A72" w:rsidRDefault="005E012F" w:rsidP="00842012">
      <w:pPr>
        <w:spacing w:line="288" w:lineRule="auto"/>
        <w:rPr>
          <w:rFonts w:ascii="Arial" w:hAnsi="Arial"/>
          <w:sz w:val="24"/>
          <w:szCs w:val="24"/>
        </w:rPr>
      </w:pPr>
    </w:p>
    <w:p w14:paraId="60E9B27C" w14:textId="3F4274DA" w:rsidR="00842012" w:rsidRPr="00CA7A72" w:rsidRDefault="00842012" w:rsidP="00842012">
      <w:pPr>
        <w:spacing w:line="288" w:lineRule="auto"/>
        <w:rPr>
          <w:rFonts w:ascii="Arial" w:hAnsi="Arial"/>
          <w:sz w:val="24"/>
          <w:szCs w:val="24"/>
        </w:rPr>
      </w:pPr>
      <w:r w:rsidRPr="00CA7A72">
        <w:rPr>
          <w:rFonts w:ascii="Arial" w:hAnsi="Arial"/>
          <w:sz w:val="24"/>
          <w:szCs w:val="24"/>
        </w:rPr>
        <w:t>A focused effort on green hydrogen development can help to overcome technical barriers, reduce costs for deployment, and achieve significant emissions reductions from the industrial sector. The RTC is in the process of developing a green hydrogen technology assessment that will analyze the potential of green hydrogen in the short-term (by 2030) and the long-term (2050), identify major technical, market, and policy barriers, risks and unintended consequences on climate, sustainable forest and land management, freshwater, and biodiversity, as well as implications for local communities, related workforce, and people with disabilities, and provide recommendations for large corporate and institutional buyers.</w:t>
      </w:r>
    </w:p>
    <w:p w14:paraId="101EF3C2" w14:textId="77777777" w:rsidR="00842012" w:rsidRPr="00CA7A72" w:rsidRDefault="00842012" w:rsidP="00842012">
      <w:pPr>
        <w:spacing w:line="288" w:lineRule="auto"/>
        <w:rPr>
          <w:rFonts w:ascii="Arial" w:hAnsi="Arial"/>
          <w:sz w:val="24"/>
          <w:szCs w:val="24"/>
        </w:rPr>
      </w:pPr>
    </w:p>
    <w:p w14:paraId="55E8F843" w14:textId="4D31400D" w:rsidR="00842012" w:rsidRPr="00CA7A72" w:rsidRDefault="00AB289F" w:rsidP="00842012">
      <w:pPr>
        <w:spacing w:line="288" w:lineRule="auto"/>
        <w:rPr>
          <w:rFonts w:ascii="Arial" w:hAnsi="Arial"/>
          <w:sz w:val="24"/>
          <w:szCs w:val="24"/>
        </w:rPr>
      </w:pPr>
      <w:r w:rsidRPr="00CA7A72">
        <w:rPr>
          <w:rFonts w:ascii="Arial" w:hAnsi="Arial"/>
          <w:sz w:val="24"/>
          <w:szCs w:val="24"/>
        </w:rPr>
        <w:t>T</w:t>
      </w:r>
      <w:r w:rsidR="00842012" w:rsidRPr="00CA7A72">
        <w:rPr>
          <w:rFonts w:ascii="Arial" w:hAnsi="Arial"/>
          <w:sz w:val="24"/>
          <w:szCs w:val="24"/>
        </w:rPr>
        <w:t>he RTC welcomes the opportunity to provide additional insights to DOE regarding industrial and commercial use of green hydrogen through working groups, discussions, or other forums. Please do not hesitate to reach out to us for further information.</w:t>
      </w:r>
    </w:p>
    <w:p w14:paraId="6DAA0C2B" w14:textId="77777777" w:rsidR="00842012" w:rsidRPr="00CA7A72" w:rsidRDefault="00842012" w:rsidP="00A24F4B">
      <w:pPr>
        <w:spacing w:line="288" w:lineRule="auto"/>
        <w:rPr>
          <w:rFonts w:ascii="Arial" w:hAnsi="Arial"/>
          <w:sz w:val="24"/>
          <w:szCs w:val="24"/>
        </w:rPr>
      </w:pPr>
    </w:p>
    <w:p w14:paraId="132432CA" w14:textId="4428A122" w:rsidR="008B1108" w:rsidRPr="00CA7A72" w:rsidRDefault="008B1108" w:rsidP="003E2B6F">
      <w:pPr>
        <w:spacing w:line="288" w:lineRule="auto"/>
        <w:rPr>
          <w:rFonts w:ascii="Arial" w:hAnsi="Arial"/>
          <w:sz w:val="24"/>
          <w:szCs w:val="24"/>
        </w:rPr>
      </w:pPr>
    </w:p>
    <w:sectPr w:rsidR="008B1108" w:rsidRPr="00CA7A72" w:rsidSect="00A24F4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49316" w14:textId="77777777" w:rsidR="008A7559" w:rsidRDefault="008A7559" w:rsidP="00022915">
      <w:r>
        <w:separator/>
      </w:r>
    </w:p>
  </w:endnote>
  <w:endnote w:type="continuationSeparator" w:id="0">
    <w:p w14:paraId="366A98F0" w14:textId="77777777" w:rsidR="008A7559" w:rsidRDefault="008A7559" w:rsidP="0002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7826636"/>
      <w:docPartObj>
        <w:docPartGallery w:val="Page Numbers (Bottom of Page)"/>
        <w:docPartUnique/>
      </w:docPartObj>
    </w:sdtPr>
    <w:sdtEndPr>
      <w:rPr>
        <w:rStyle w:val="PageNumber"/>
      </w:rPr>
    </w:sdtEndPr>
    <w:sdtContent>
      <w:p w14:paraId="55176CBC" w14:textId="77777777" w:rsidR="008B1108" w:rsidRDefault="008B1108" w:rsidP="008420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3457C" w14:textId="77777777" w:rsidR="008B1108" w:rsidRDefault="008B1108" w:rsidP="008B1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6366300"/>
      <w:docPartObj>
        <w:docPartGallery w:val="Page Numbers (Bottom of Page)"/>
        <w:docPartUnique/>
      </w:docPartObj>
    </w:sdtPr>
    <w:sdtEndPr>
      <w:rPr>
        <w:rStyle w:val="PageNumber"/>
      </w:rPr>
    </w:sdtEndPr>
    <w:sdtContent>
      <w:p w14:paraId="25EB64F0" w14:textId="18415E93" w:rsidR="00842012" w:rsidRDefault="00842012" w:rsidP="006A39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540BED" w14:textId="77777777" w:rsidR="008B1108" w:rsidRDefault="008B1108" w:rsidP="008B1108">
    <w:pPr>
      <w:pStyle w:val="Footer"/>
      <w:ind w:right="360"/>
      <w:rPr>
        <w:i/>
        <w:sz w:val="19"/>
        <w:szCs w:val="19"/>
      </w:rPr>
    </w:pPr>
  </w:p>
  <w:p w14:paraId="115A7DD5" w14:textId="77777777" w:rsidR="008B1108" w:rsidRDefault="008B1108" w:rsidP="007F18B3">
    <w:pPr>
      <w:pStyle w:val="Footer"/>
      <w:rPr>
        <w:i/>
        <w:sz w:val="19"/>
        <w:szCs w:val="19"/>
      </w:rPr>
    </w:pPr>
  </w:p>
  <w:p w14:paraId="579A1C3C" w14:textId="77777777" w:rsidR="0068226B" w:rsidRPr="007F18B3" w:rsidRDefault="0068226B" w:rsidP="007F18B3">
    <w:pPr>
      <w:pStyle w:val="Footer"/>
      <w:rPr>
        <w:sz w:val="19"/>
        <w:szCs w:val="19"/>
      </w:rPr>
    </w:pPr>
    <w:r w:rsidRPr="007F18B3">
      <w:rPr>
        <w:i/>
        <w:sz w:val="19"/>
        <w:szCs w:val="19"/>
      </w:rPr>
      <w:t xml:space="preserve">The leading coalition for organizations that are committed to scaling up renewable heating and cooling </w:t>
    </w:r>
    <w:r w:rsidR="007F18B3" w:rsidRPr="007F18B3">
      <w:rPr>
        <w:i/>
        <w:sz w:val="19"/>
        <w:szCs w:val="19"/>
      </w:rPr>
      <w:t xml:space="preserve"> </w:t>
    </w:r>
    <w:r w:rsidR="007F18B3">
      <w:rPr>
        <w:i/>
        <w:sz w:val="19"/>
        <w:szCs w:val="19"/>
      </w:rPr>
      <w:t xml:space="preserve">      </w:t>
    </w:r>
    <w:r w:rsidR="007F18B3" w:rsidRPr="007F18B3">
      <w:rPr>
        <w:i/>
        <w:sz w:val="19"/>
        <w:szCs w:val="19"/>
      </w:rPr>
      <w:t xml:space="preserve"> </w:t>
    </w:r>
    <w:r w:rsidRPr="007F18B3">
      <w:rPr>
        <w:color w:val="C00000"/>
        <w:sz w:val="19"/>
        <w:szCs w:val="19"/>
      </w:rPr>
      <w:t>renewablethermal.org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B254D" w14:textId="77777777" w:rsidR="008B1108" w:rsidRPr="007F18B3" w:rsidRDefault="008B1108" w:rsidP="008B1108">
    <w:pPr>
      <w:pStyle w:val="Footer"/>
      <w:rPr>
        <w:sz w:val="19"/>
        <w:szCs w:val="19"/>
      </w:rPr>
    </w:pPr>
    <w:r w:rsidRPr="007F18B3">
      <w:rPr>
        <w:i/>
        <w:sz w:val="19"/>
        <w:szCs w:val="19"/>
      </w:rPr>
      <w:t xml:space="preserve">The leading coalition for organizations that are committed to scaling up renewable heating and cooling  </w:t>
    </w:r>
    <w:r>
      <w:rPr>
        <w:i/>
        <w:sz w:val="19"/>
        <w:szCs w:val="19"/>
      </w:rPr>
      <w:t xml:space="preserve">      </w:t>
    </w:r>
    <w:r w:rsidRPr="007F18B3">
      <w:rPr>
        <w:i/>
        <w:sz w:val="19"/>
        <w:szCs w:val="19"/>
      </w:rPr>
      <w:t xml:space="preserve"> </w:t>
    </w:r>
    <w:r w:rsidRPr="007F18B3">
      <w:rPr>
        <w:color w:val="C00000"/>
        <w:sz w:val="19"/>
        <w:szCs w:val="19"/>
      </w:rPr>
      <w:t>renewablethermal.org</w:t>
    </w:r>
  </w:p>
  <w:p w14:paraId="3F12E6A5" w14:textId="77777777" w:rsidR="008B1108" w:rsidRDefault="008B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CE973" w14:textId="77777777" w:rsidR="008A7559" w:rsidRDefault="008A7559" w:rsidP="00022915">
      <w:r>
        <w:separator/>
      </w:r>
    </w:p>
  </w:footnote>
  <w:footnote w:type="continuationSeparator" w:id="0">
    <w:p w14:paraId="2A6463F4" w14:textId="77777777" w:rsidR="008A7559" w:rsidRDefault="008A7559" w:rsidP="00022915">
      <w:r>
        <w:continuationSeparator/>
      </w:r>
    </w:p>
  </w:footnote>
  <w:footnote w:id="1">
    <w:p w14:paraId="24F255B6" w14:textId="77777777" w:rsidR="00A24F4B" w:rsidRPr="004E6BE9" w:rsidRDefault="00A24F4B" w:rsidP="00A24F4B">
      <w:pPr>
        <w:pStyle w:val="FootnoteText"/>
        <w:rPr>
          <w:rFonts w:ascii="Arial" w:hAnsi="Arial"/>
        </w:rPr>
      </w:pPr>
      <w:r w:rsidRPr="004E6BE9">
        <w:rPr>
          <w:rStyle w:val="FootnoteReference"/>
          <w:rFonts w:ascii="Arial" w:hAnsi="Arial"/>
        </w:rPr>
        <w:footnoteRef/>
      </w:r>
      <w:r w:rsidRPr="004E6BE9">
        <w:rPr>
          <w:rFonts w:ascii="Arial" w:hAnsi="Arial"/>
        </w:rPr>
        <w:t xml:space="preserve"> The Renewable Thermal Collaborative was founded in 2017 and is facilitated by the Center for Climate and Energy Solutions, David Gardiner and Associates, and World Wildlife Fund.</w:t>
      </w:r>
    </w:p>
  </w:footnote>
  <w:footnote w:id="2">
    <w:p w14:paraId="7A9090E0" w14:textId="0C7E9C3A" w:rsidR="003E6760" w:rsidRDefault="003E6760">
      <w:pPr>
        <w:pStyle w:val="FootnoteText"/>
      </w:pPr>
      <w:r>
        <w:rPr>
          <w:rStyle w:val="FootnoteReference"/>
        </w:rPr>
        <w:footnoteRef/>
      </w:r>
      <w:r>
        <w:t xml:space="preserve"> U.S. Environmental Protection Agency</w:t>
      </w:r>
      <w:r w:rsidR="00373FD5">
        <w:t xml:space="preserve">, </w:t>
      </w:r>
      <w:proofErr w:type="spellStart"/>
      <w:r w:rsidR="00373FD5">
        <w:t>eGrid</w:t>
      </w:r>
      <w:proofErr w:type="spellEnd"/>
      <w:r w:rsidR="00373FD5">
        <w:t xml:space="preserve"> Download Data, January </w:t>
      </w:r>
      <w:r w:rsidR="00300D42">
        <w:t xml:space="preserve">27, 2022, </w:t>
      </w:r>
      <w:r w:rsidR="00300D42" w:rsidRPr="00300D42">
        <w:t>https://www.epa.gov/egrid/download-data</w:t>
      </w:r>
      <w:r w:rsidR="00E44AA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A775C" w14:textId="77777777" w:rsidR="00022915" w:rsidRDefault="00022915">
    <w:pPr>
      <w:pStyle w:val="Header"/>
    </w:pPr>
  </w:p>
  <w:p w14:paraId="06A1A47F" w14:textId="77777777" w:rsidR="00395A84" w:rsidRDefault="008B1108">
    <w:pPr>
      <w:pStyle w:val="Header"/>
    </w:pPr>
    <w:r>
      <w:rPr>
        <w:noProof/>
      </w:rPr>
      <w:drawing>
        <wp:inline distT="0" distB="0" distL="0" distR="0" wp14:anchorId="6E76DDCF" wp14:editId="61284688">
          <wp:extent cx="881743" cy="267386"/>
          <wp:effectExtent l="0" t="0" r="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15798" cy="277713"/>
                  </a:xfrm>
                  <a:prstGeom prst="rect">
                    <a:avLst/>
                  </a:prstGeom>
                </pic:spPr>
              </pic:pic>
            </a:graphicData>
          </a:graphic>
        </wp:inline>
      </w:drawing>
    </w:r>
  </w:p>
  <w:p w14:paraId="023045BA" w14:textId="77777777" w:rsidR="00022915" w:rsidRDefault="00022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E916" w14:textId="77777777" w:rsidR="00ED6110" w:rsidRPr="00762FE5" w:rsidRDefault="00ED6110" w:rsidP="00ED6110">
    <w:pPr>
      <w:spacing w:line="288" w:lineRule="auto"/>
      <w:jc w:val="right"/>
      <w:rPr>
        <w:rFonts w:ascii="Arial" w:hAnsi="Arial"/>
      </w:rPr>
    </w:pPr>
    <w:r>
      <w:rPr>
        <w:rFonts w:ascii="Arial" w:hAnsi="Arial"/>
        <w:noProof/>
      </w:rPr>
      <mc:AlternateContent>
        <mc:Choice Requires="wps">
          <w:drawing>
            <wp:anchor distT="0" distB="0" distL="114300" distR="114300" simplePos="0" relativeHeight="251660288" behindDoc="0" locked="0" layoutInCell="1" allowOverlap="1" wp14:anchorId="6126C4D1" wp14:editId="15730EA7">
              <wp:simplePos x="0" y="0"/>
              <wp:positionH relativeFrom="column">
                <wp:posOffset>3610509</wp:posOffset>
              </wp:positionH>
              <wp:positionV relativeFrom="paragraph">
                <wp:posOffset>-108585</wp:posOffset>
              </wp:positionV>
              <wp:extent cx="2416628" cy="1208314"/>
              <wp:effectExtent l="0" t="0" r="0" b="0"/>
              <wp:wrapNone/>
              <wp:docPr id="6" name="Text Box 6"/>
              <wp:cNvGraphicFramePr/>
              <a:graphic xmlns:a="http://schemas.openxmlformats.org/drawingml/2006/main">
                <a:graphicData uri="http://schemas.microsoft.com/office/word/2010/wordprocessingShape">
                  <wps:wsp>
                    <wps:cNvSpPr txBox="1"/>
                    <wps:spPr>
                      <a:xfrm>
                        <a:off x="0" y="0"/>
                        <a:ext cx="2416628" cy="1208314"/>
                      </a:xfrm>
                      <a:prstGeom prst="rect">
                        <a:avLst/>
                      </a:prstGeom>
                      <a:solidFill>
                        <a:schemeClr val="lt1"/>
                      </a:solidFill>
                      <a:ln w="6350">
                        <a:noFill/>
                      </a:ln>
                    </wps:spPr>
                    <wps:txbx>
                      <w:txbxContent>
                        <w:p w14:paraId="35926BEC" w14:textId="77777777" w:rsidR="00ED6110" w:rsidRPr="00762FE5" w:rsidRDefault="00ED6110" w:rsidP="00ED6110">
                          <w:pPr>
                            <w:spacing w:line="288" w:lineRule="auto"/>
                            <w:rPr>
                              <w:rFonts w:ascii="Arial" w:hAnsi="Arial"/>
                            </w:rPr>
                          </w:pPr>
                          <w:r>
                            <w:rPr>
                              <w:rFonts w:ascii="Arial" w:hAnsi="Arial"/>
                            </w:rPr>
                            <w:t>R</w:t>
                          </w:r>
                          <w:r w:rsidRPr="00762FE5">
                            <w:rPr>
                              <w:rFonts w:ascii="Arial" w:hAnsi="Arial"/>
                            </w:rPr>
                            <w:t>enewable Thermal Collaborative</w:t>
                          </w:r>
                        </w:p>
                        <w:p w14:paraId="4D4315E6" w14:textId="77777777" w:rsidR="00ED6110" w:rsidRPr="00762FE5" w:rsidRDefault="00ED6110" w:rsidP="00ED6110">
                          <w:pPr>
                            <w:spacing w:line="288" w:lineRule="auto"/>
                            <w:rPr>
                              <w:rFonts w:ascii="Arial" w:hAnsi="Arial"/>
                            </w:rPr>
                          </w:pPr>
                          <w:r w:rsidRPr="00762FE5">
                            <w:rPr>
                              <w:rFonts w:ascii="Arial" w:hAnsi="Arial"/>
                            </w:rPr>
                            <w:t>Blaine Collison, Executive Director</w:t>
                          </w:r>
                        </w:p>
                        <w:p w14:paraId="21ABF83E" w14:textId="77777777" w:rsidR="00ED6110" w:rsidRPr="00762FE5" w:rsidRDefault="00ED6110" w:rsidP="00ED6110">
                          <w:pPr>
                            <w:spacing w:line="288" w:lineRule="auto"/>
                            <w:rPr>
                              <w:rFonts w:ascii="Arial" w:hAnsi="Arial"/>
                            </w:rPr>
                          </w:pPr>
                          <w:r w:rsidRPr="00762FE5">
                            <w:rPr>
                              <w:rFonts w:ascii="Arial" w:hAnsi="Arial"/>
                            </w:rPr>
                            <w:t>3100 Clarendon Blvd., Suite 800</w:t>
                          </w:r>
                        </w:p>
                        <w:p w14:paraId="5D5F1446" w14:textId="77777777" w:rsidR="00ED6110" w:rsidRPr="00762FE5" w:rsidRDefault="00ED6110" w:rsidP="00ED6110">
                          <w:pPr>
                            <w:spacing w:line="288" w:lineRule="auto"/>
                            <w:rPr>
                              <w:rFonts w:ascii="Arial" w:hAnsi="Arial"/>
                            </w:rPr>
                          </w:pPr>
                          <w:r w:rsidRPr="00762FE5">
                            <w:rPr>
                              <w:rFonts w:ascii="Arial" w:hAnsi="Arial"/>
                            </w:rPr>
                            <w:t>Arlington, VA 22201</w:t>
                          </w:r>
                        </w:p>
                        <w:p w14:paraId="2399B2A6" w14:textId="77777777" w:rsidR="00ED6110" w:rsidRPr="00762FE5" w:rsidRDefault="00ED6110" w:rsidP="00ED6110">
                          <w:pPr>
                            <w:spacing w:line="288" w:lineRule="auto"/>
                            <w:rPr>
                              <w:rFonts w:ascii="Arial" w:hAnsi="Arial"/>
                            </w:rPr>
                          </w:pPr>
                          <w:r>
                            <w:rPr>
                              <w:rFonts w:ascii="Arial" w:hAnsi="Arial"/>
                            </w:rPr>
                            <w:t>B</w:t>
                          </w:r>
                          <w:r w:rsidRPr="00762FE5">
                            <w:rPr>
                              <w:rFonts w:ascii="Arial" w:hAnsi="Arial"/>
                            </w:rPr>
                            <w:t>laine@dgardiner.com</w:t>
                          </w:r>
                        </w:p>
                        <w:p w14:paraId="5A674F63" w14:textId="77777777" w:rsidR="00ED6110" w:rsidRDefault="00ED6110" w:rsidP="00ED6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6126C4D1" id="_x0000_t202" coordsize="21600,21600" o:spt="202" path="m,l,21600r21600,l21600,xe">
              <v:stroke joinstyle="miter"/>
              <v:path gradientshapeok="t" o:connecttype="rect"/>
            </v:shapetype>
            <v:shape id="Text Box 6" o:spid="_x0000_s1026" type="#_x0000_t202" style="position:absolute;left:0;text-align:left;margin-left:284.3pt;margin-top:-8.55pt;width:190.3pt;height:95.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" fillcolor="white [3201]" stroked="f" strokeweight=".5pt">
              <v:textbox>
                <w:txbxContent>
                  <w:p w14:paraId="35926BEC" w14:textId="77777777" w:rsidR="00ED6110" w:rsidRPr="00762FE5" w:rsidRDefault="00ED6110" w:rsidP="00ED6110">
                    <w:pPr>
                      <w:spacing w:line="288" w:lineRule="auto"/>
                      <w:rPr>
                        <w:rFonts w:ascii="Arial" w:hAnsi="Arial"/>
                      </w:rPr>
                    </w:pPr>
                    <w:r>
                      <w:rPr>
                        <w:rFonts w:ascii="Arial" w:hAnsi="Arial"/>
                      </w:rPr>
                      <w:t>R</w:t>
                    </w:r>
                    <w:r w:rsidRPr="00762FE5">
                      <w:rPr>
                        <w:rFonts w:ascii="Arial" w:hAnsi="Arial"/>
                      </w:rPr>
                      <w:t>enewable Thermal Collaborative</w:t>
                    </w:r>
                  </w:p>
                  <w:p w14:paraId="4D4315E6" w14:textId="77777777" w:rsidR="00ED6110" w:rsidRPr="00762FE5" w:rsidRDefault="00ED6110" w:rsidP="00ED6110">
                    <w:pPr>
                      <w:spacing w:line="288" w:lineRule="auto"/>
                      <w:rPr>
                        <w:rFonts w:ascii="Arial" w:hAnsi="Arial"/>
                      </w:rPr>
                    </w:pPr>
                    <w:r w:rsidRPr="00762FE5">
                      <w:rPr>
                        <w:rFonts w:ascii="Arial" w:hAnsi="Arial"/>
                      </w:rPr>
                      <w:t>Blaine Collison, Executive Director</w:t>
                    </w:r>
                  </w:p>
                  <w:p w14:paraId="21ABF83E" w14:textId="77777777" w:rsidR="00ED6110" w:rsidRPr="00762FE5" w:rsidRDefault="00ED6110" w:rsidP="00ED6110">
                    <w:pPr>
                      <w:spacing w:line="288" w:lineRule="auto"/>
                      <w:rPr>
                        <w:rFonts w:ascii="Arial" w:hAnsi="Arial"/>
                      </w:rPr>
                    </w:pPr>
                    <w:r w:rsidRPr="00762FE5">
                      <w:rPr>
                        <w:rFonts w:ascii="Arial" w:hAnsi="Arial"/>
                      </w:rPr>
                      <w:t>3100 Clarendon Blvd., Suite 800</w:t>
                    </w:r>
                  </w:p>
                  <w:p w14:paraId="5D5F1446" w14:textId="77777777" w:rsidR="00ED6110" w:rsidRPr="00762FE5" w:rsidRDefault="00ED6110" w:rsidP="00ED6110">
                    <w:pPr>
                      <w:spacing w:line="288" w:lineRule="auto"/>
                      <w:rPr>
                        <w:rFonts w:ascii="Arial" w:hAnsi="Arial"/>
                      </w:rPr>
                    </w:pPr>
                    <w:r w:rsidRPr="00762FE5">
                      <w:rPr>
                        <w:rFonts w:ascii="Arial" w:hAnsi="Arial"/>
                      </w:rPr>
                      <w:t>Arlington, VA 22201</w:t>
                    </w:r>
                  </w:p>
                  <w:p w14:paraId="2399B2A6" w14:textId="77777777" w:rsidR="00ED6110" w:rsidRPr="00762FE5" w:rsidRDefault="00ED6110" w:rsidP="00ED6110">
                    <w:pPr>
                      <w:spacing w:line="288" w:lineRule="auto"/>
                      <w:rPr>
                        <w:rFonts w:ascii="Arial" w:hAnsi="Arial"/>
                      </w:rPr>
                    </w:pPr>
                    <w:r>
                      <w:rPr>
                        <w:rFonts w:ascii="Arial" w:hAnsi="Arial"/>
                      </w:rPr>
                      <w:t>B</w:t>
                    </w:r>
                    <w:r w:rsidRPr="00762FE5">
                      <w:rPr>
                        <w:rFonts w:ascii="Arial" w:hAnsi="Arial"/>
                      </w:rPr>
                      <w:t>laine@dgardiner.com</w:t>
                    </w:r>
                  </w:p>
                  <w:p w14:paraId="5A674F63" w14:textId="77777777" w:rsidR="00ED6110" w:rsidRDefault="00ED6110" w:rsidP="00ED6110"/>
                </w:txbxContent>
              </v:textbox>
            </v:shape>
          </w:pict>
        </mc:Fallback>
      </mc:AlternateContent>
    </w:r>
    <w:r w:rsidR="008B1108">
      <w:rPr>
        <w:noProof/>
      </w:rPr>
      <w:drawing>
        <wp:anchor distT="0" distB="0" distL="114300" distR="114300" simplePos="0" relativeHeight="251658240" behindDoc="0" locked="0" layoutInCell="1" allowOverlap="1" wp14:anchorId="2E5C2A1B" wp14:editId="20C80C73">
          <wp:simplePos x="0" y="0"/>
          <wp:positionH relativeFrom="column">
            <wp:posOffset>0</wp:posOffset>
          </wp:positionH>
          <wp:positionV relativeFrom="paragraph">
            <wp:posOffset>0</wp:posOffset>
          </wp:positionV>
          <wp:extent cx="2419985" cy="733854"/>
          <wp:effectExtent l="0" t="0" r="0" b="3175"/>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19985" cy="733854"/>
                  </a:xfrm>
                  <a:prstGeom prst="rect">
                    <a:avLst/>
                  </a:prstGeom>
                </pic:spPr>
              </pic:pic>
            </a:graphicData>
          </a:graphic>
          <wp14:sizeRelH relativeFrom="page">
            <wp14:pctWidth>0</wp14:pctWidth>
          </wp14:sizeRelH>
          <wp14:sizeRelV relativeFrom="page">
            <wp14:pctHeight>0</wp14:pctHeight>
          </wp14:sizeRelV>
        </wp:anchor>
      </w:drawing>
    </w:r>
  </w:p>
  <w:p w14:paraId="20E8B208" w14:textId="77777777" w:rsidR="008B1108" w:rsidRDefault="008B1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67E"/>
    <w:multiLevelType w:val="multilevel"/>
    <w:tmpl w:val="9402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B2211"/>
    <w:multiLevelType w:val="hybridMultilevel"/>
    <w:tmpl w:val="7C48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F25EE"/>
    <w:multiLevelType w:val="multilevel"/>
    <w:tmpl w:val="BF162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B2253"/>
    <w:multiLevelType w:val="hybridMultilevel"/>
    <w:tmpl w:val="0562DA08"/>
    <w:lvl w:ilvl="0" w:tplc="299CBD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26752"/>
    <w:multiLevelType w:val="hybridMultilevel"/>
    <w:tmpl w:val="F138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43A1E"/>
    <w:multiLevelType w:val="hybridMultilevel"/>
    <w:tmpl w:val="B8646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26E64"/>
    <w:multiLevelType w:val="multilevel"/>
    <w:tmpl w:val="64B6F6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1150D"/>
    <w:multiLevelType w:val="hybridMultilevel"/>
    <w:tmpl w:val="EF4E0F32"/>
    <w:lvl w:ilvl="0" w:tplc="554837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56E1C"/>
    <w:multiLevelType w:val="multilevel"/>
    <w:tmpl w:val="DC0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E56DD"/>
    <w:multiLevelType w:val="multilevel"/>
    <w:tmpl w:val="410AAF1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54966"/>
    <w:multiLevelType w:val="multilevel"/>
    <w:tmpl w:val="22C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6304E"/>
    <w:multiLevelType w:val="hybridMultilevel"/>
    <w:tmpl w:val="DF5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12144"/>
    <w:multiLevelType w:val="hybridMultilevel"/>
    <w:tmpl w:val="5772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C4C1D"/>
    <w:multiLevelType w:val="hybridMultilevel"/>
    <w:tmpl w:val="5E40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00455"/>
    <w:multiLevelType w:val="hybridMultilevel"/>
    <w:tmpl w:val="C7BC2F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4317B91"/>
    <w:multiLevelType w:val="multilevel"/>
    <w:tmpl w:val="8F8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FE541F"/>
    <w:multiLevelType w:val="hybridMultilevel"/>
    <w:tmpl w:val="52D6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A2045"/>
    <w:multiLevelType w:val="hybridMultilevel"/>
    <w:tmpl w:val="0ED095D6"/>
    <w:lvl w:ilvl="0" w:tplc="9460CD92">
      <w:numFmt w:val="bullet"/>
      <w:lvlText w:val="•"/>
      <w:lvlJc w:val="left"/>
      <w:pPr>
        <w:ind w:left="720" w:hanging="72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70EF2"/>
    <w:multiLevelType w:val="hybridMultilevel"/>
    <w:tmpl w:val="1A60228C"/>
    <w:lvl w:ilvl="0" w:tplc="299CBD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E711A"/>
    <w:multiLevelType w:val="hybridMultilevel"/>
    <w:tmpl w:val="89C8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4"/>
  </w:num>
  <w:num w:numId="4">
    <w:abstractNumId w:val="17"/>
  </w:num>
  <w:num w:numId="5">
    <w:abstractNumId w:val="3"/>
  </w:num>
  <w:num w:numId="6">
    <w:abstractNumId w:val="18"/>
  </w:num>
  <w:num w:numId="7">
    <w:abstractNumId w:val="13"/>
  </w:num>
  <w:num w:numId="8">
    <w:abstractNumId w:val="15"/>
  </w:num>
  <w:num w:numId="9">
    <w:abstractNumId w:val="14"/>
  </w:num>
  <w:num w:numId="10">
    <w:abstractNumId w:val="10"/>
  </w:num>
  <w:num w:numId="11">
    <w:abstractNumId w:val="7"/>
  </w:num>
  <w:num w:numId="12">
    <w:abstractNumId w:val="19"/>
  </w:num>
  <w:num w:numId="13">
    <w:abstractNumId w:val="8"/>
  </w:num>
  <w:num w:numId="14">
    <w:abstractNumId w:val="12"/>
  </w:num>
  <w:num w:numId="15">
    <w:abstractNumId w:val="6"/>
  </w:num>
  <w:num w:numId="16">
    <w:abstractNumId w:val="5"/>
  </w:num>
  <w:num w:numId="17">
    <w:abstractNumId w:val="11"/>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4B"/>
    <w:rsid w:val="000004F9"/>
    <w:rsid w:val="00006663"/>
    <w:rsid w:val="0001170B"/>
    <w:rsid w:val="00022915"/>
    <w:rsid w:val="00025F22"/>
    <w:rsid w:val="00026E6C"/>
    <w:rsid w:val="00034D9A"/>
    <w:rsid w:val="00044DD6"/>
    <w:rsid w:val="000458D2"/>
    <w:rsid w:val="000463B4"/>
    <w:rsid w:val="00052AEB"/>
    <w:rsid w:val="000602AC"/>
    <w:rsid w:val="000604B2"/>
    <w:rsid w:val="00066F6F"/>
    <w:rsid w:val="00080777"/>
    <w:rsid w:val="0008346A"/>
    <w:rsid w:val="00092E8F"/>
    <w:rsid w:val="000B60F8"/>
    <w:rsid w:val="000C10AA"/>
    <w:rsid w:val="000C27DB"/>
    <w:rsid w:val="000D02E3"/>
    <w:rsid w:val="000F2E0F"/>
    <w:rsid w:val="001130CF"/>
    <w:rsid w:val="00134498"/>
    <w:rsid w:val="0014791A"/>
    <w:rsid w:val="001479F5"/>
    <w:rsid w:val="0016078B"/>
    <w:rsid w:val="0016092C"/>
    <w:rsid w:val="00161D12"/>
    <w:rsid w:val="00172009"/>
    <w:rsid w:val="00174874"/>
    <w:rsid w:val="001756EE"/>
    <w:rsid w:val="00176743"/>
    <w:rsid w:val="001F070F"/>
    <w:rsid w:val="001F5A28"/>
    <w:rsid w:val="00206ECE"/>
    <w:rsid w:val="00207F74"/>
    <w:rsid w:val="00215302"/>
    <w:rsid w:val="00217B7B"/>
    <w:rsid w:val="0022451B"/>
    <w:rsid w:val="00242618"/>
    <w:rsid w:val="0024663A"/>
    <w:rsid w:val="00247A9F"/>
    <w:rsid w:val="0025101C"/>
    <w:rsid w:val="00267AD1"/>
    <w:rsid w:val="0027590E"/>
    <w:rsid w:val="00290388"/>
    <w:rsid w:val="002926AA"/>
    <w:rsid w:val="002945E0"/>
    <w:rsid w:val="002A1DEC"/>
    <w:rsid w:val="002A7FAA"/>
    <w:rsid w:val="002C7B87"/>
    <w:rsid w:val="002D0D92"/>
    <w:rsid w:val="002D234B"/>
    <w:rsid w:val="002D6963"/>
    <w:rsid w:val="002F0AC9"/>
    <w:rsid w:val="00300D42"/>
    <w:rsid w:val="003035C2"/>
    <w:rsid w:val="00317A5F"/>
    <w:rsid w:val="00332A07"/>
    <w:rsid w:val="00340E60"/>
    <w:rsid w:val="0034534B"/>
    <w:rsid w:val="00347383"/>
    <w:rsid w:val="00360048"/>
    <w:rsid w:val="00365044"/>
    <w:rsid w:val="00373B8D"/>
    <w:rsid w:val="00373FD5"/>
    <w:rsid w:val="00375388"/>
    <w:rsid w:val="0038325A"/>
    <w:rsid w:val="00391730"/>
    <w:rsid w:val="00394E0E"/>
    <w:rsid w:val="00395A84"/>
    <w:rsid w:val="003A132C"/>
    <w:rsid w:val="003A7598"/>
    <w:rsid w:val="003B217F"/>
    <w:rsid w:val="003B59F3"/>
    <w:rsid w:val="003B5E34"/>
    <w:rsid w:val="003B7DA3"/>
    <w:rsid w:val="003E2B6F"/>
    <w:rsid w:val="003E6760"/>
    <w:rsid w:val="003F19C2"/>
    <w:rsid w:val="00401341"/>
    <w:rsid w:val="0040287C"/>
    <w:rsid w:val="004158DD"/>
    <w:rsid w:val="00417E02"/>
    <w:rsid w:val="004634BE"/>
    <w:rsid w:val="004725E1"/>
    <w:rsid w:val="00477489"/>
    <w:rsid w:val="00481D23"/>
    <w:rsid w:val="00481DD7"/>
    <w:rsid w:val="00490C3A"/>
    <w:rsid w:val="0049288F"/>
    <w:rsid w:val="00493420"/>
    <w:rsid w:val="004A4287"/>
    <w:rsid w:val="004A4621"/>
    <w:rsid w:val="004A727E"/>
    <w:rsid w:val="004A7FD7"/>
    <w:rsid w:val="004B2B12"/>
    <w:rsid w:val="004C6DC2"/>
    <w:rsid w:val="004D0E38"/>
    <w:rsid w:val="004E67D8"/>
    <w:rsid w:val="004E6E3D"/>
    <w:rsid w:val="004F2BF3"/>
    <w:rsid w:val="004F6338"/>
    <w:rsid w:val="00535A2C"/>
    <w:rsid w:val="00536023"/>
    <w:rsid w:val="0053685B"/>
    <w:rsid w:val="005409CB"/>
    <w:rsid w:val="00542E27"/>
    <w:rsid w:val="0054632B"/>
    <w:rsid w:val="00546E2E"/>
    <w:rsid w:val="00547388"/>
    <w:rsid w:val="00586617"/>
    <w:rsid w:val="00587E0E"/>
    <w:rsid w:val="005A23C4"/>
    <w:rsid w:val="005B10D5"/>
    <w:rsid w:val="005D0152"/>
    <w:rsid w:val="005D0D99"/>
    <w:rsid w:val="005D2928"/>
    <w:rsid w:val="005D3D50"/>
    <w:rsid w:val="005D6B04"/>
    <w:rsid w:val="005E012F"/>
    <w:rsid w:val="005E7610"/>
    <w:rsid w:val="005F2C05"/>
    <w:rsid w:val="005F589A"/>
    <w:rsid w:val="006059CD"/>
    <w:rsid w:val="00611CB1"/>
    <w:rsid w:val="00613CAB"/>
    <w:rsid w:val="00626E1A"/>
    <w:rsid w:val="0063299B"/>
    <w:rsid w:val="0064521B"/>
    <w:rsid w:val="0065479C"/>
    <w:rsid w:val="00656CE9"/>
    <w:rsid w:val="00663ACC"/>
    <w:rsid w:val="0068226B"/>
    <w:rsid w:val="006875F3"/>
    <w:rsid w:val="006925BA"/>
    <w:rsid w:val="00697D86"/>
    <w:rsid w:val="006A009F"/>
    <w:rsid w:val="006A4A06"/>
    <w:rsid w:val="006B3EB0"/>
    <w:rsid w:val="006B52B5"/>
    <w:rsid w:val="006C18AE"/>
    <w:rsid w:val="006D523F"/>
    <w:rsid w:val="006D5BB7"/>
    <w:rsid w:val="006E1822"/>
    <w:rsid w:val="006E28BE"/>
    <w:rsid w:val="006E4CC5"/>
    <w:rsid w:val="006E52D3"/>
    <w:rsid w:val="006F6C35"/>
    <w:rsid w:val="006F7A9F"/>
    <w:rsid w:val="00700551"/>
    <w:rsid w:val="0070055A"/>
    <w:rsid w:val="0071449F"/>
    <w:rsid w:val="00716C8A"/>
    <w:rsid w:val="007316B0"/>
    <w:rsid w:val="00734C59"/>
    <w:rsid w:val="0074072D"/>
    <w:rsid w:val="00771703"/>
    <w:rsid w:val="007721FF"/>
    <w:rsid w:val="00776EF3"/>
    <w:rsid w:val="007871AF"/>
    <w:rsid w:val="007910A2"/>
    <w:rsid w:val="00791802"/>
    <w:rsid w:val="007B39E8"/>
    <w:rsid w:val="007B59A3"/>
    <w:rsid w:val="007E5453"/>
    <w:rsid w:val="007F18B3"/>
    <w:rsid w:val="0081068F"/>
    <w:rsid w:val="008152FF"/>
    <w:rsid w:val="0082200D"/>
    <w:rsid w:val="00825065"/>
    <w:rsid w:val="00831A11"/>
    <w:rsid w:val="0083351A"/>
    <w:rsid w:val="00835365"/>
    <w:rsid w:val="008364D3"/>
    <w:rsid w:val="00841998"/>
    <w:rsid w:val="00842012"/>
    <w:rsid w:val="00860947"/>
    <w:rsid w:val="00891437"/>
    <w:rsid w:val="008950BC"/>
    <w:rsid w:val="00896D1F"/>
    <w:rsid w:val="008A7559"/>
    <w:rsid w:val="008B1108"/>
    <w:rsid w:val="008B6C87"/>
    <w:rsid w:val="008C6906"/>
    <w:rsid w:val="008D07EF"/>
    <w:rsid w:val="008D346A"/>
    <w:rsid w:val="008E383A"/>
    <w:rsid w:val="008F41D2"/>
    <w:rsid w:val="008F51A4"/>
    <w:rsid w:val="008F5D4E"/>
    <w:rsid w:val="00907C8A"/>
    <w:rsid w:val="009114A7"/>
    <w:rsid w:val="00912876"/>
    <w:rsid w:val="009248B1"/>
    <w:rsid w:val="00926B8C"/>
    <w:rsid w:val="009331A0"/>
    <w:rsid w:val="00954D71"/>
    <w:rsid w:val="00957AD8"/>
    <w:rsid w:val="009777C2"/>
    <w:rsid w:val="00987C6B"/>
    <w:rsid w:val="0099143F"/>
    <w:rsid w:val="0099453F"/>
    <w:rsid w:val="009B7FB2"/>
    <w:rsid w:val="009D622F"/>
    <w:rsid w:val="009E2A51"/>
    <w:rsid w:val="009E7E4B"/>
    <w:rsid w:val="009F030F"/>
    <w:rsid w:val="00A0002C"/>
    <w:rsid w:val="00A00CD7"/>
    <w:rsid w:val="00A17FD4"/>
    <w:rsid w:val="00A212F8"/>
    <w:rsid w:val="00A24F4B"/>
    <w:rsid w:val="00A37609"/>
    <w:rsid w:val="00A376C5"/>
    <w:rsid w:val="00A4490E"/>
    <w:rsid w:val="00A66BF3"/>
    <w:rsid w:val="00A70FC3"/>
    <w:rsid w:val="00A744CF"/>
    <w:rsid w:val="00A85370"/>
    <w:rsid w:val="00A940B8"/>
    <w:rsid w:val="00AA51BB"/>
    <w:rsid w:val="00AA6878"/>
    <w:rsid w:val="00AA6C4E"/>
    <w:rsid w:val="00AB1E6A"/>
    <w:rsid w:val="00AB289F"/>
    <w:rsid w:val="00AD44E0"/>
    <w:rsid w:val="00AD6984"/>
    <w:rsid w:val="00AE7886"/>
    <w:rsid w:val="00B1311B"/>
    <w:rsid w:val="00B36820"/>
    <w:rsid w:val="00B43847"/>
    <w:rsid w:val="00B438B8"/>
    <w:rsid w:val="00B45D0B"/>
    <w:rsid w:val="00B64D07"/>
    <w:rsid w:val="00B72E32"/>
    <w:rsid w:val="00B904EB"/>
    <w:rsid w:val="00BA2227"/>
    <w:rsid w:val="00BA4DB4"/>
    <w:rsid w:val="00BD33E7"/>
    <w:rsid w:val="00BE6070"/>
    <w:rsid w:val="00BF27A0"/>
    <w:rsid w:val="00BF2D82"/>
    <w:rsid w:val="00C1284F"/>
    <w:rsid w:val="00C26582"/>
    <w:rsid w:val="00C33C7C"/>
    <w:rsid w:val="00C41049"/>
    <w:rsid w:val="00C64C41"/>
    <w:rsid w:val="00C66590"/>
    <w:rsid w:val="00C9507B"/>
    <w:rsid w:val="00CA6EA6"/>
    <w:rsid w:val="00CA7A72"/>
    <w:rsid w:val="00CB3E15"/>
    <w:rsid w:val="00CB7460"/>
    <w:rsid w:val="00CC7CEE"/>
    <w:rsid w:val="00CD7CB9"/>
    <w:rsid w:val="00CE14ED"/>
    <w:rsid w:val="00CE33E5"/>
    <w:rsid w:val="00CF2E85"/>
    <w:rsid w:val="00CF7347"/>
    <w:rsid w:val="00D02738"/>
    <w:rsid w:val="00D20060"/>
    <w:rsid w:val="00D232E5"/>
    <w:rsid w:val="00D24480"/>
    <w:rsid w:val="00D26AD3"/>
    <w:rsid w:val="00D303B9"/>
    <w:rsid w:val="00D32554"/>
    <w:rsid w:val="00D57D0B"/>
    <w:rsid w:val="00D662E6"/>
    <w:rsid w:val="00D7004B"/>
    <w:rsid w:val="00D70365"/>
    <w:rsid w:val="00D7422C"/>
    <w:rsid w:val="00DA13BB"/>
    <w:rsid w:val="00DA348D"/>
    <w:rsid w:val="00DA3F57"/>
    <w:rsid w:val="00DB4CF6"/>
    <w:rsid w:val="00DB657F"/>
    <w:rsid w:val="00DB6EB4"/>
    <w:rsid w:val="00DD07CD"/>
    <w:rsid w:val="00DD465D"/>
    <w:rsid w:val="00DE2F13"/>
    <w:rsid w:val="00DE5EC5"/>
    <w:rsid w:val="00DF01EC"/>
    <w:rsid w:val="00DF547E"/>
    <w:rsid w:val="00E06DB7"/>
    <w:rsid w:val="00E128B7"/>
    <w:rsid w:val="00E16F16"/>
    <w:rsid w:val="00E270E5"/>
    <w:rsid w:val="00E432C6"/>
    <w:rsid w:val="00E44AA9"/>
    <w:rsid w:val="00E577DF"/>
    <w:rsid w:val="00EA06C5"/>
    <w:rsid w:val="00EA1413"/>
    <w:rsid w:val="00EA2364"/>
    <w:rsid w:val="00EA2756"/>
    <w:rsid w:val="00EB0E22"/>
    <w:rsid w:val="00EC0E9E"/>
    <w:rsid w:val="00EC6B5B"/>
    <w:rsid w:val="00ED6110"/>
    <w:rsid w:val="00EE34F1"/>
    <w:rsid w:val="00EF0481"/>
    <w:rsid w:val="00EF1068"/>
    <w:rsid w:val="00EF73E4"/>
    <w:rsid w:val="00F0051D"/>
    <w:rsid w:val="00F047AD"/>
    <w:rsid w:val="00F177A4"/>
    <w:rsid w:val="00F2121D"/>
    <w:rsid w:val="00F27531"/>
    <w:rsid w:val="00F32ECC"/>
    <w:rsid w:val="00F676AB"/>
    <w:rsid w:val="00F6784C"/>
    <w:rsid w:val="00F74466"/>
    <w:rsid w:val="00F81A57"/>
    <w:rsid w:val="00F83011"/>
    <w:rsid w:val="00F92C5A"/>
    <w:rsid w:val="00FD728B"/>
    <w:rsid w:val="00FD7E3C"/>
    <w:rsid w:val="00FE0867"/>
    <w:rsid w:val="00FE18A1"/>
    <w:rsid w:val="00FE2FEB"/>
    <w:rsid w:val="00FF149F"/>
    <w:rsid w:val="00FF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EEAB1"/>
  <w14:defaultImageDpi w14:val="32767"/>
  <w15:chartTrackingRefBased/>
  <w15:docId w15:val="{33CD5516-C2D4-8E4E-B340-FC98F306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534B"/>
    <w:rPr>
      <w:rFonts w:asciiTheme="minorHAnsi" w:hAnsiTheme="minorHAnsi"/>
    </w:rPr>
  </w:style>
  <w:style w:type="paragraph" w:styleId="Heading1">
    <w:name w:val="heading 1"/>
    <w:basedOn w:val="Normal"/>
    <w:next w:val="Normal"/>
    <w:link w:val="Heading1Char"/>
    <w:uiPriority w:val="9"/>
    <w:qFormat/>
    <w:rsid w:val="006F6C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00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5">
    <w:name w:val="Grid Table 4 Accent 5"/>
    <w:basedOn w:val="TableNormal"/>
    <w:uiPriority w:val="49"/>
    <w:rsid w:val="009114A7"/>
    <w:rPr>
      <w:rFonts w:asciiTheme="minorHAnsi" w:eastAsiaTheme="minorEastAsia" w:hAnsiTheme="minorHAnsi" w:cstheme="minorBidi"/>
      <w:color w:val="auto"/>
      <w:sz w:val="24"/>
      <w:szCs w:val="24"/>
    </w:rPr>
    <w:tblPr>
      <w:tblStyleRowBandSize w:val="1"/>
      <w:tblStyleColBandSize w:val="1"/>
      <w:tblBorders>
        <w:top w:val="single" w:sz="4" w:space="0" w:color="38A8E2"/>
        <w:left w:val="single" w:sz="4" w:space="0" w:color="38A8E2"/>
        <w:bottom w:val="single" w:sz="4" w:space="0" w:color="38A8E2"/>
        <w:right w:val="single" w:sz="4" w:space="0" w:color="38A8E2"/>
        <w:insideH w:val="single" w:sz="4" w:space="0" w:color="38A8E2"/>
        <w:insideV w:val="single" w:sz="4" w:space="0" w:color="38A8E2"/>
      </w:tblBorders>
    </w:tblPr>
    <w:tcPr>
      <w:shd w:val="clear" w:color="auto" w:fill="auto"/>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373B8D"/>
    <w:rPr>
      <w:color w:val="0563C1" w:themeColor="hyperlink"/>
      <w:u w:val="single"/>
    </w:rPr>
  </w:style>
  <w:style w:type="character" w:styleId="CommentReference">
    <w:name w:val="annotation reference"/>
    <w:basedOn w:val="DefaultParagraphFont"/>
    <w:uiPriority w:val="99"/>
    <w:semiHidden/>
    <w:unhideWhenUsed/>
    <w:rsid w:val="00022915"/>
    <w:rPr>
      <w:sz w:val="18"/>
      <w:szCs w:val="18"/>
    </w:rPr>
  </w:style>
  <w:style w:type="paragraph" w:styleId="CommentText">
    <w:name w:val="annotation text"/>
    <w:basedOn w:val="Normal"/>
    <w:link w:val="CommentTextChar"/>
    <w:uiPriority w:val="99"/>
    <w:semiHidden/>
    <w:unhideWhenUsed/>
    <w:rsid w:val="00022915"/>
    <w:rPr>
      <w:sz w:val="24"/>
      <w:szCs w:val="24"/>
    </w:rPr>
  </w:style>
  <w:style w:type="character" w:customStyle="1" w:styleId="CommentTextChar">
    <w:name w:val="Comment Text Char"/>
    <w:basedOn w:val="DefaultParagraphFont"/>
    <w:link w:val="CommentText"/>
    <w:uiPriority w:val="99"/>
    <w:semiHidden/>
    <w:rsid w:val="00022915"/>
    <w:rPr>
      <w:rFonts w:asciiTheme="minorHAnsi" w:hAnsiTheme="minorHAnsi"/>
      <w:sz w:val="24"/>
      <w:szCs w:val="24"/>
    </w:rPr>
  </w:style>
  <w:style w:type="paragraph" w:styleId="CommentSubject">
    <w:name w:val="annotation subject"/>
    <w:basedOn w:val="CommentText"/>
    <w:next w:val="CommentText"/>
    <w:link w:val="CommentSubjectChar"/>
    <w:uiPriority w:val="99"/>
    <w:semiHidden/>
    <w:unhideWhenUsed/>
    <w:rsid w:val="00022915"/>
    <w:rPr>
      <w:b/>
      <w:bCs/>
      <w:sz w:val="20"/>
      <w:szCs w:val="20"/>
    </w:rPr>
  </w:style>
  <w:style w:type="character" w:customStyle="1" w:styleId="CommentSubjectChar">
    <w:name w:val="Comment Subject Char"/>
    <w:basedOn w:val="CommentTextChar"/>
    <w:link w:val="CommentSubject"/>
    <w:uiPriority w:val="99"/>
    <w:semiHidden/>
    <w:rsid w:val="00022915"/>
    <w:rPr>
      <w:rFonts w:asciiTheme="minorHAnsi" w:hAnsiTheme="minorHAnsi"/>
      <w:b/>
      <w:bCs/>
      <w:sz w:val="20"/>
      <w:szCs w:val="20"/>
    </w:rPr>
  </w:style>
  <w:style w:type="paragraph" w:styleId="BalloonText">
    <w:name w:val="Balloon Text"/>
    <w:basedOn w:val="Normal"/>
    <w:link w:val="BalloonTextChar"/>
    <w:uiPriority w:val="99"/>
    <w:semiHidden/>
    <w:unhideWhenUsed/>
    <w:rsid w:val="000229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2915"/>
    <w:rPr>
      <w:rFonts w:ascii="Times New Roman" w:hAnsi="Times New Roman" w:cs="Times New Roman"/>
      <w:sz w:val="18"/>
      <w:szCs w:val="18"/>
    </w:rPr>
  </w:style>
  <w:style w:type="paragraph" w:styleId="Header">
    <w:name w:val="header"/>
    <w:basedOn w:val="Normal"/>
    <w:link w:val="HeaderChar"/>
    <w:uiPriority w:val="99"/>
    <w:unhideWhenUsed/>
    <w:rsid w:val="00022915"/>
    <w:pPr>
      <w:tabs>
        <w:tab w:val="center" w:pos="4680"/>
        <w:tab w:val="right" w:pos="9360"/>
      </w:tabs>
    </w:pPr>
  </w:style>
  <w:style w:type="character" w:customStyle="1" w:styleId="HeaderChar">
    <w:name w:val="Header Char"/>
    <w:basedOn w:val="DefaultParagraphFont"/>
    <w:link w:val="Header"/>
    <w:uiPriority w:val="99"/>
    <w:rsid w:val="00022915"/>
    <w:rPr>
      <w:rFonts w:asciiTheme="minorHAnsi" w:hAnsiTheme="minorHAnsi"/>
    </w:rPr>
  </w:style>
  <w:style w:type="paragraph" w:styleId="Footer">
    <w:name w:val="footer"/>
    <w:basedOn w:val="Normal"/>
    <w:link w:val="FooterChar"/>
    <w:uiPriority w:val="99"/>
    <w:unhideWhenUsed/>
    <w:rsid w:val="00022915"/>
    <w:pPr>
      <w:tabs>
        <w:tab w:val="center" w:pos="4680"/>
        <w:tab w:val="right" w:pos="9360"/>
      </w:tabs>
    </w:pPr>
  </w:style>
  <w:style w:type="character" w:customStyle="1" w:styleId="FooterChar">
    <w:name w:val="Footer Char"/>
    <w:basedOn w:val="DefaultParagraphFont"/>
    <w:link w:val="Footer"/>
    <w:uiPriority w:val="99"/>
    <w:rsid w:val="00022915"/>
    <w:rPr>
      <w:rFonts w:asciiTheme="minorHAnsi" w:hAnsiTheme="minorHAnsi"/>
    </w:rPr>
  </w:style>
  <w:style w:type="character" w:styleId="FollowedHyperlink">
    <w:name w:val="FollowedHyperlink"/>
    <w:basedOn w:val="DefaultParagraphFont"/>
    <w:uiPriority w:val="99"/>
    <w:semiHidden/>
    <w:unhideWhenUsed/>
    <w:rsid w:val="00F6784C"/>
    <w:rPr>
      <w:color w:val="954F72" w:themeColor="followedHyperlink"/>
      <w:u w:val="single"/>
    </w:rPr>
  </w:style>
  <w:style w:type="paragraph" w:styleId="ListParagraph">
    <w:name w:val="List Paragraph"/>
    <w:basedOn w:val="Normal"/>
    <w:uiPriority w:val="34"/>
    <w:qFormat/>
    <w:rsid w:val="00B36820"/>
    <w:pPr>
      <w:ind w:left="720"/>
      <w:contextualSpacing/>
    </w:pPr>
  </w:style>
  <w:style w:type="character" w:styleId="UnresolvedMention">
    <w:name w:val="Unresolved Mention"/>
    <w:basedOn w:val="DefaultParagraphFont"/>
    <w:uiPriority w:val="99"/>
    <w:rsid w:val="00B36820"/>
    <w:rPr>
      <w:color w:val="605E5C"/>
      <w:shd w:val="clear" w:color="auto" w:fill="E1DFDD"/>
    </w:rPr>
  </w:style>
  <w:style w:type="character" w:customStyle="1" w:styleId="Heading1Char">
    <w:name w:val="Heading 1 Char"/>
    <w:basedOn w:val="DefaultParagraphFont"/>
    <w:link w:val="Heading1"/>
    <w:uiPriority w:val="9"/>
    <w:rsid w:val="006F6C3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99143F"/>
  </w:style>
  <w:style w:type="character" w:customStyle="1" w:styleId="Heading3Char">
    <w:name w:val="Heading 3 Char"/>
    <w:basedOn w:val="DefaultParagraphFont"/>
    <w:link w:val="Heading3"/>
    <w:uiPriority w:val="9"/>
    <w:semiHidden/>
    <w:rsid w:val="00172009"/>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8B1108"/>
  </w:style>
  <w:style w:type="paragraph" w:styleId="FootnoteText">
    <w:name w:val="footnote text"/>
    <w:basedOn w:val="Normal"/>
    <w:link w:val="FootnoteTextChar"/>
    <w:uiPriority w:val="99"/>
    <w:semiHidden/>
    <w:unhideWhenUsed/>
    <w:rsid w:val="00A24F4B"/>
    <w:rPr>
      <w:sz w:val="20"/>
      <w:szCs w:val="20"/>
    </w:rPr>
  </w:style>
  <w:style w:type="character" w:customStyle="1" w:styleId="FootnoteTextChar">
    <w:name w:val="Footnote Text Char"/>
    <w:basedOn w:val="DefaultParagraphFont"/>
    <w:link w:val="FootnoteText"/>
    <w:uiPriority w:val="99"/>
    <w:semiHidden/>
    <w:rsid w:val="00A24F4B"/>
    <w:rPr>
      <w:rFonts w:asciiTheme="minorHAnsi" w:hAnsiTheme="minorHAnsi"/>
      <w:sz w:val="20"/>
      <w:szCs w:val="20"/>
    </w:rPr>
  </w:style>
  <w:style w:type="character" w:styleId="FootnoteReference">
    <w:name w:val="footnote reference"/>
    <w:basedOn w:val="DefaultParagraphFont"/>
    <w:uiPriority w:val="99"/>
    <w:semiHidden/>
    <w:unhideWhenUsed/>
    <w:rsid w:val="00A24F4B"/>
    <w:rPr>
      <w:vertAlign w:val="superscript"/>
    </w:rPr>
  </w:style>
  <w:style w:type="paragraph" w:styleId="NormalWeb">
    <w:name w:val="Normal (Web)"/>
    <w:basedOn w:val="Normal"/>
    <w:uiPriority w:val="99"/>
    <w:semiHidden/>
    <w:unhideWhenUsed/>
    <w:rsid w:val="00842012"/>
    <w:rPr>
      <w:rFonts w:ascii="Times New Roman" w:hAnsi="Times New Roman" w:cs="Times New Roman"/>
      <w:sz w:val="24"/>
      <w:szCs w:val="24"/>
    </w:rPr>
  </w:style>
  <w:style w:type="paragraph" w:styleId="Revision">
    <w:name w:val="Revision"/>
    <w:hidden/>
    <w:uiPriority w:val="99"/>
    <w:semiHidden/>
    <w:rsid w:val="0049342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1334">
      <w:bodyDiv w:val="1"/>
      <w:marLeft w:val="0"/>
      <w:marRight w:val="0"/>
      <w:marTop w:val="0"/>
      <w:marBottom w:val="0"/>
      <w:divBdr>
        <w:top w:val="none" w:sz="0" w:space="0" w:color="auto"/>
        <w:left w:val="none" w:sz="0" w:space="0" w:color="auto"/>
        <w:bottom w:val="none" w:sz="0" w:space="0" w:color="auto"/>
        <w:right w:val="none" w:sz="0" w:space="0" w:color="auto"/>
      </w:divBdr>
    </w:div>
    <w:div w:id="26299286">
      <w:bodyDiv w:val="1"/>
      <w:marLeft w:val="0"/>
      <w:marRight w:val="0"/>
      <w:marTop w:val="0"/>
      <w:marBottom w:val="0"/>
      <w:divBdr>
        <w:top w:val="none" w:sz="0" w:space="0" w:color="auto"/>
        <w:left w:val="none" w:sz="0" w:space="0" w:color="auto"/>
        <w:bottom w:val="none" w:sz="0" w:space="0" w:color="auto"/>
        <w:right w:val="none" w:sz="0" w:space="0" w:color="auto"/>
      </w:divBdr>
      <w:divsChild>
        <w:div w:id="1806657233">
          <w:marLeft w:val="0"/>
          <w:marRight w:val="0"/>
          <w:marTop w:val="0"/>
          <w:marBottom w:val="0"/>
          <w:divBdr>
            <w:top w:val="none" w:sz="0" w:space="0" w:color="auto"/>
            <w:left w:val="none" w:sz="0" w:space="0" w:color="auto"/>
            <w:bottom w:val="none" w:sz="0" w:space="0" w:color="auto"/>
            <w:right w:val="none" w:sz="0" w:space="0" w:color="auto"/>
          </w:divBdr>
          <w:divsChild>
            <w:div w:id="853223002">
              <w:marLeft w:val="0"/>
              <w:marRight w:val="0"/>
              <w:marTop w:val="0"/>
              <w:marBottom w:val="0"/>
              <w:divBdr>
                <w:top w:val="none" w:sz="0" w:space="0" w:color="auto"/>
                <w:left w:val="none" w:sz="0" w:space="0" w:color="auto"/>
                <w:bottom w:val="none" w:sz="0" w:space="0" w:color="auto"/>
                <w:right w:val="none" w:sz="0" w:space="0" w:color="auto"/>
              </w:divBdr>
              <w:divsChild>
                <w:div w:id="8024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9544">
      <w:bodyDiv w:val="1"/>
      <w:marLeft w:val="0"/>
      <w:marRight w:val="0"/>
      <w:marTop w:val="0"/>
      <w:marBottom w:val="0"/>
      <w:divBdr>
        <w:top w:val="none" w:sz="0" w:space="0" w:color="auto"/>
        <w:left w:val="none" w:sz="0" w:space="0" w:color="auto"/>
        <w:bottom w:val="none" w:sz="0" w:space="0" w:color="auto"/>
        <w:right w:val="none" w:sz="0" w:space="0" w:color="auto"/>
      </w:divBdr>
    </w:div>
    <w:div w:id="149447721">
      <w:bodyDiv w:val="1"/>
      <w:marLeft w:val="0"/>
      <w:marRight w:val="0"/>
      <w:marTop w:val="0"/>
      <w:marBottom w:val="0"/>
      <w:divBdr>
        <w:top w:val="none" w:sz="0" w:space="0" w:color="auto"/>
        <w:left w:val="none" w:sz="0" w:space="0" w:color="auto"/>
        <w:bottom w:val="none" w:sz="0" w:space="0" w:color="auto"/>
        <w:right w:val="none" w:sz="0" w:space="0" w:color="auto"/>
      </w:divBdr>
    </w:div>
    <w:div w:id="226915525">
      <w:bodyDiv w:val="1"/>
      <w:marLeft w:val="0"/>
      <w:marRight w:val="0"/>
      <w:marTop w:val="0"/>
      <w:marBottom w:val="0"/>
      <w:divBdr>
        <w:top w:val="none" w:sz="0" w:space="0" w:color="auto"/>
        <w:left w:val="none" w:sz="0" w:space="0" w:color="auto"/>
        <w:bottom w:val="none" w:sz="0" w:space="0" w:color="auto"/>
        <w:right w:val="none" w:sz="0" w:space="0" w:color="auto"/>
      </w:divBdr>
    </w:div>
    <w:div w:id="286207362">
      <w:bodyDiv w:val="1"/>
      <w:marLeft w:val="0"/>
      <w:marRight w:val="0"/>
      <w:marTop w:val="0"/>
      <w:marBottom w:val="0"/>
      <w:divBdr>
        <w:top w:val="none" w:sz="0" w:space="0" w:color="auto"/>
        <w:left w:val="none" w:sz="0" w:space="0" w:color="auto"/>
        <w:bottom w:val="none" w:sz="0" w:space="0" w:color="auto"/>
        <w:right w:val="none" w:sz="0" w:space="0" w:color="auto"/>
      </w:divBdr>
    </w:div>
    <w:div w:id="344020533">
      <w:bodyDiv w:val="1"/>
      <w:marLeft w:val="0"/>
      <w:marRight w:val="0"/>
      <w:marTop w:val="0"/>
      <w:marBottom w:val="0"/>
      <w:divBdr>
        <w:top w:val="none" w:sz="0" w:space="0" w:color="auto"/>
        <w:left w:val="none" w:sz="0" w:space="0" w:color="auto"/>
        <w:bottom w:val="none" w:sz="0" w:space="0" w:color="auto"/>
        <w:right w:val="none" w:sz="0" w:space="0" w:color="auto"/>
      </w:divBdr>
    </w:div>
    <w:div w:id="478810089">
      <w:bodyDiv w:val="1"/>
      <w:marLeft w:val="0"/>
      <w:marRight w:val="0"/>
      <w:marTop w:val="0"/>
      <w:marBottom w:val="0"/>
      <w:divBdr>
        <w:top w:val="none" w:sz="0" w:space="0" w:color="auto"/>
        <w:left w:val="none" w:sz="0" w:space="0" w:color="auto"/>
        <w:bottom w:val="none" w:sz="0" w:space="0" w:color="auto"/>
        <w:right w:val="none" w:sz="0" w:space="0" w:color="auto"/>
      </w:divBdr>
      <w:divsChild>
        <w:div w:id="873927298">
          <w:marLeft w:val="0"/>
          <w:marRight w:val="0"/>
          <w:marTop w:val="0"/>
          <w:marBottom w:val="0"/>
          <w:divBdr>
            <w:top w:val="none" w:sz="0" w:space="0" w:color="auto"/>
            <w:left w:val="none" w:sz="0" w:space="0" w:color="auto"/>
            <w:bottom w:val="none" w:sz="0" w:space="0" w:color="auto"/>
            <w:right w:val="none" w:sz="0" w:space="0" w:color="auto"/>
          </w:divBdr>
          <w:divsChild>
            <w:div w:id="968129576">
              <w:marLeft w:val="0"/>
              <w:marRight w:val="0"/>
              <w:marTop w:val="0"/>
              <w:marBottom w:val="0"/>
              <w:divBdr>
                <w:top w:val="none" w:sz="0" w:space="0" w:color="auto"/>
                <w:left w:val="none" w:sz="0" w:space="0" w:color="auto"/>
                <w:bottom w:val="none" w:sz="0" w:space="0" w:color="auto"/>
                <w:right w:val="none" w:sz="0" w:space="0" w:color="auto"/>
              </w:divBdr>
              <w:divsChild>
                <w:div w:id="14025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8738">
      <w:bodyDiv w:val="1"/>
      <w:marLeft w:val="0"/>
      <w:marRight w:val="0"/>
      <w:marTop w:val="0"/>
      <w:marBottom w:val="0"/>
      <w:divBdr>
        <w:top w:val="none" w:sz="0" w:space="0" w:color="auto"/>
        <w:left w:val="none" w:sz="0" w:space="0" w:color="auto"/>
        <w:bottom w:val="none" w:sz="0" w:space="0" w:color="auto"/>
        <w:right w:val="none" w:sz="0" w:space="0" w:color="auto"/>
      </w:divBdr>
    </w:div>
    <w:div w:id="683241832">
      <w:bodyDiv w:val="1"/>
      <w:marLeft w:val="0"/>
      <w:marRight w:val="0"/>
      <w:marTop w:val="0"/>
      <w:marBottom w:val="0"/>
      <w:divBdr>
        <w:top w:val="none" w:sz="0" w:space="0" w:color="auto"/>
        <w:left w:val="none" w:sz="0" w:space="0" w:color="auto"/>
        <w:bottom w:val="none" w:sz="0" w:space="0" w:color="auto"/>
        <w:right w:val="none" w:sz="0" w:space="0" w:color="auto"/>
      </w:divBdr>
    </w:div>
    <w:div w:id="736511784">
      <w:bodyDiv w:val="1"/>
      <w:marLeft w:val="0"/>
      <w:marRight w:val="0"/>
      <w:marTop w:val="0"/>
      <w:marBottom w:val="0"/>
      <w:divBdr>
        <w:top w:val="none" w:sz="0" w:space="0" w:color="auto"/>
        <w:left w:val="none" w:sz="0" w:space="0" w:color="auto"/>
        <w:bottom w:val="none" w:sz="0" w:space="0" w:color="auto"/>
        <w:right w:val="none" w:sz="0" w:space="0" w:color="auto"/>
      </w:divBdr>
    </w:div>
    <w:div w:id="790393663">
      <w:bodyDiv w:val="1"/>
      <w:marLeft w:val="0"/>
      <w:marRight w:val="0"/>
      <w:marTop w:val="0"/>
      <w:marBottom w:val="0"/>
      <w:divBdr>
        <w:top w:val="none" w:sz="0" w:space="0" w:color="auto"/>
        <w:left w:val="none" w:sz="0" w:space="0" w:color="auto"/>
        <w:bottom w:val="none" w:sz="0" w:space="0" w:color="auto"/>
        <w:right w:val="none" w:sz="0" w:space="0" w:color="auto"/>
      </w:divBdr>
    </w:div>
    <w:div w:id="791631932">
      <w:bodyDiv w:val="1"/>
      <w:marLeft w:val="0"/>
      <w:marRight w:val="0"/>
      <w:marTop w:val="0"/>
      <w:marBottom w:val="0"/>
      <w:divBdr>
        <w:top w:val="none" w:sz="0" w:space="0" w:color="auto"/>
        <w:left w:val="none" w:sz="0" w:space="0" w:color="auto"/>
        <w:bottom w:val="none" w:sz="0" w:space="0" w:color="auto"/>
        <w:right w:val="none" w:sz="0" w:space="0" w:color="auto"/>
      </w:divBdr>
    </w:div>
    <w:div w:id="838230069">
      <w:bodyDiv w:val="1"/>
      <w:marLeft w:val="0"/>
      <w:marRight w:val="0"/>
      <w:marTop w:val="0"/>
      <w:marBottom w:val="0"/>
      <w:divBdr>
        <w:top w:val="none" w:sz="0" w:space="0" w:color="auto"/>
        <w:left w:val="none" w:sz="0" w:space="0" w:color="auto"/>
        <w:bottom w:val="none" w:sz="0" w:space="0" w:color="auto"/>
        <w:right w:val="none" w:sz="0" w:space="0" w:color="auto"/>
      </w:divBdr>
    </w:div>
    <w:div w:id="966736537">
      <w:bodyDiv w:val="1"/>
      <w:marLeft w:val="0"/>
      <w:marRight w:val="0"/>
      <w:marTop w:val="0"/>
      <w:marBottom w:val="0"/>
      <w:divBdr>
        <w:top w:val="none" w:sz="0" w:space="0" w:color="auto"/>
        <w:left w:val="none" w:sz="0" w:space="0" w:color="auto"/>
        <w:bottom w:val="none" w:sz="0" w:space="0" w:color="auto"/>
        <w:right w:val="none" w:sz="0" w:space="0" w:color="auto"/>
      </w:divBdr>
    </w:div>
    <w:div w:id="989555100">
      <w:bodyDiv w:val="1"/>
      <w:marLeft w:val="0"/>
      <w:marRight w:val="0"/>
      <w:marTop w:val="0"/>
      <w:marBottom w:val="0"/>
      <w:divBdr>
        <w:top w:val="none" w:sz="0" w:space="0" w:color="auto"/>
        <w:left w:val="none" w:sz="0" w:space="0" w:color="auto"/>
        <w:bottom w:val="none" w:sz="0" w:space="0" w:color="auto"/>
        <w:right w:val="none" w:sz="0" w:space="0" w:color="auto"/>
      </w:divBdr>
    </w:div>
    <w:div w:id="1047149604">
      <w:bodyDiv w:val="1"/>
      <w:marLeft w:val="0"/>
      <w:marRight w:val="0"/>
      <w:marTop w:val="0"/>
      <w:marBottom w:val="0"/>
      <w:divBdr>
        <w:top w:val="none" w:sz="0" w:space="0" w:color="auto"/>
        <w:left w:val="none" w:sz="0" w:space="0" w:color="auto"/>
        <w:bottom w:val="none" w:sz="0" w:space="0" w:color="auto"/>
        <w:right w:val="none" w:sz="0" w:space="0" w:color="auto"/>
      </w:divBdr>
    </w:div>
    <w:div w:id="1292781471">
      <w:bodyDiv w:val="1"/>
      <w:marLeft w:val="0"/>
      <w:marRight w:val="0"/>
      <w:marTop w:val="0"/>
      <w:marBottom w:val="0"/>
      <w:divBdr>
        <w:top w:val="none" w:sz="0" w:space="0" w:color="auto"/>
        <w:left w:val="none" w:sz="0" w:space="0" w:color="auto"/>
        <w:bottom w:val="none" w:sz="0" w:space="0" w:color="auto"/>
        <w:right w:val="none" w:sz="0" w:space="0" w:color="auto"/>
      </w:divBdr>
    </w:div>
    <w:div w:id="1315798924">
      <w:bodyDiv w:val="1"/>
      <w:marLeft w:val="0"/>
      <w:marRight w:val="0"/>
      <w:marTop w:val="0"/>
      <w:marBottom w:val="0"/>
      <w:divBdr>
        <w:top w:val="none" w:sz="0" w:space="0" w:color="auto"/>
        <w:left w:val="none" w:sz="0" w:space="0" w:color="auto"/>
        <w:bottom w:val="none" w:sz="0" w:space="0" w:color="auto"/>
        <w:right w:val="none" w:sz="0" w:space="0" w:color="auto"/>
      </w:divBdr>
    </w:div>
    <w:div w:id="1524706508">
      <w:bodyDiv w:val="1"/>
      <w:marLeft w:val="0"/>
      <w:marRight w:val="0"/>
      <w:marTop w:val="0"/>
      <w:marBottom w:val="0"/>
      <w:divBdr>
        <w:top w:val="none" w:sz="0" w:space="0" w:color="auto"/>
        <w:left w:val="none" w:sz="0" w:space="0" w:color="auto"/>
        <w:bottom w:val="none" w:sz="0" w:space="0" w:color="auto"/>
        <w:right w:val="none" w:sz="0" w:space="0" w:color="auto"/>
      </w:divBdr>
    </w:div>
    <w:div w:id="1563372257">
      <w:bodyDiv w:val="1"/>
      <w:marLeft w:val="0"/>
      <w:marRight w:val="0"/>
      <w:marTop w:val="0"/>
      <w:marBottom w:val="0"/>
      <w:divBdr>
        <w:top w:val="none" w:sz="0" w:space="0" w:color="auto"/>
        <w:left w:val="none" w:sz="0" w:space="0" w:color="auto"/>
        <w:bottom w:val="none" w:sz="0" w:space="0" w:color="auto"/>
        <w:right w:val="none" w:sz="0" w:space="0" w:color="auto"/>
      </w:divBdr>
      <w:divsChild>
        <w:div w:id="545678636">
          <w:marLeft w:val="0"/>
          <w:marRight w:val="0"/>
          <w:marTop w:val="0"/>
          <w:marBottom w:val="0"/>
          <w:divBdr>
            <w:top w:val="none" w:sz="0" w:space="0" w:color="auto"/>
            <w:left w:val="none" w:sz="0" w:space="0" w:color="auto"/>
            <w:bottom w:val="none" w:sz="0" w:space="0" w:color="auto"/>
            <w:right w:val="none" w:sz="0" w:space="0" w:color="auto"/>
          </w:divBdr>
          <w:divsChild>
            <w:div w:id="973094914">
              <w:marLeft w:val="0"/>
              <w:marRight w:val="0"/>
              <w:marTop w:val="0"/>
              <w:marBottom w:val="0"/>
              <w:divBdr>
                <w:top w:val="none" w:sz="0" w:space="0" w:color="auto"/>
                <w:left w:val="none" w:sz="0" w:space="0" w:color="auto"/>
                <w:bottom w:val="none" w:sz="0" w:space="0" w:color="auto"/>
                <w:right w:val="none" w:sz="0" w:space="0" w:color="auto"/>
              </w:divBdr>
              <w:divsChild>
                <w:div w:id="682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3615">
      <w:bodyDiv w:val="1"/>
      <w:marLeft w:val="0"/>
      <w:marRight w:val="0"/>
      <w:marTop w:val="0"/>
      <w:marBottom w:val="0"/>
      <w:divBdr>
        <w:top w:val="none" w:sz="0" w:space="0" w:color="auto"/>
        <w:left w:val="none" w:sz="0" w:space="0" w:color="auto"/>
        <w:bottom w:val="none" w:sz="0" w:space="0" w:color="auto"/>
        <w:right w:val="none" w:sz="0" w:space="0" w:color="auto"/>
      </w:divBdr>
      <w:divsChild>
        <w:div w:id="176434098">
          <w:marLeft w:val="0"/>
          <w:marRight w:val="0"/>
          <w:marTop w:val="0"/>
          <w:marBottom w:val="0"/>
          <w:divBdr>
            <w:top w:val="none" w:sz="0" w:space="0" w:color="auto"/>
            <w:left w:val="none" w:sz="0" w:space="0" w:color="auto"/>
            <w:bottom w:val="none" w:sz="0" w:space="0" w:color="auto"/>
            <w:right w:val="none" w:sz="0" w:space="0" w:color="auto"/>
          </w:divBdr>
          <w:divsChild>
            <w:div w:id="1742676384">
              <w:marLeft w:val="0"/>
              <w:marRight w:val="0"/>
              <w:marTop w:val="0"/>
              <w:marBottom w:val="0"/>
              <w:divBdr>
                <w:top w:val="none" w:sz="0" w:space="0" w:color="auto"/>
                <w:left w:val="none" w:sz="0" w:space="0" w:color="auto"/>
                <w:bottom w:val="none" w:sz="0" w:space="0" w:color="auto"/>
                <w:right w:val="none" w:sz="0" w:space="0" w:color="auto"/>
              </w:divBdr>
              <w:divsChild>
                <w:div w:id="208341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3628">
      <w:bodyDiv w:val="1"/>
      <w:marLeft w:val="0"/>
      <w:marRight w:val="0"/>
      <w:marTop w:val="0"/>
      <w:marBottom w:val="0"/>
      <w:divBdr>
        <w:top w:val="none" w:sz="0" w:space="0" w:color="auto"/>
        <w:left w:val="none" w:sz="0" w:space="0" w:color="auto"/>
        <w:bottom w:val="none" w:sz="0" w:space="0" w:color="auto"/>
        <w:right w:val="none" w:sz="0" w:space="0" w:color="auto"/>
      </w:divBdr>
    </w:div>
    <w:div w:id="1932469622">
      <w:bodyDiv w:val="1"/>
      <w:marLeft w:val="0"/>
      <w:marRight w:val="0"/>
      <w:marTop w:val="0"/>
      <w:marBottom w:val="0"/>
      <w:divBdr>
        <w:top w:val="none" w:sz="0" w:space="0" w:color="auto"/>
        <w:left w:val="none" w:sz="0" w:space="0" w:color="auto"/>
        <w:bottom w:val="none" w:sz="0" w:space="0" w:color="auto"/>
        <w:right w:val="none" w:sz="0" w:space="0" w:color="auto"/>
      </w:divBdr>
    </w:div>
    <w:div w:id="2009938408">
      <w:bodyDiv w:val="1"/>
      <w:marLeft w:val="0"/>
      <w:marRight w:val="0"/>
      <w:marTop w:val="0"/>
      <w:marBottom w:val="0"/>
      <w:divBdr>
        <w:top w:val="none" w:sz="0" w:space="0" w:color="auto"/>
        <w:left w:val="none" w:sz="0" w:space="0" w:color="auto"/>
        <w:bottom w:val="none" w:sz="0" w:space="0" w:color="auto"/>
        <w:right w:val="none" w:sz="0" w:space="0" w:color="auto"/>
      </w:divBdr>
    </w:div>
    <w:div w:id="2059012645">
      <w:bodyDiv w:val="1"/>
      <w:marLeft w:val="0"/>
      <w:marRight w:val="0"/>
      <w:marTop w:val="0"/>
      <w:marBottom w:val="0"/>
      <w:divBdr>
        <w:top w:val="none" w:sz="0" w:space="0" w:color="auto"/>
        <w:left w:val="none" w:sz="0" w:space="0" w:color="auto"/>
        <w:bottom w:val="none" w:sz="0" w:space="0" w:color="auto"/>
        <w:right w:val="none" w:sz="0" w:space="0" w:color="auto"/>
      </w:divBdr>
    </w:div>
    <w:div w:id="2070683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ynnkirshbaum/DGA%20Dropbox/Lynn%20Kirshbaum/Renewable%20Thermal%20Collaborative%20(1)/Logos%20and%20Templates/Word%20Templates/BlaineContact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1CC1-74C4-B94E-ABAC-BFD3581F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BlaineContactHeader.dotx</Template>
  <TotalTime>8</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Kirshbaum</dc:creator>
  <cp:keywords/>
  <dc:description/>
  <cp:lastModifiedBy>Lynn Kirshbaum</cp:lastModifiedBy>
  <cp:revision>4</cp:revision>
  <cp:lastPrinted>2020-12-09T19:01:00Z</cp:lastPrinted>
  <dcterms:created xsi:type="dcterms:W3CDTF">2022-03-11T21:25:00Z</dcterms:created>
  <dcterms:modified xsi:type="dcterms:W3CDTF">2022-03-11T21:46:00Z</dcterms:modified>
</cp:coreProperties>
</file>